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60A2" w14:textId="539C9465" w:rsidR="00260789" w:rsidRDefault="00574D83" w:rsidP="00260789">
      <w:pPr>
        <w:spacing w:line="480" w:lineRule="auto"/>
        <w:rPr>
          <w:sz w:val="24"/>
          <w:szCs w:val="24"/>
        </w:rPr>
      </w:pPr>
      <w:bookmarkStart w:id="0" w:name="_Hlk155851036"/>
      <w:r w:rsidRPr="00CE71B7">
        <w:rPr>
          <w:noProof/>
        </w:rPr>
        <w:drawing>
          <wp:inline distT="0" distB="0" distL="0" distR="0" wp14:anchorId="03AD5AF6" wp14:editId="47383D83">
            <wp:extent cx="1857375" cy="1171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bookmarkEnd w:id="0"/>
    </w:p>
    <w:p w14:paraId="265EE738" w14:textId="55B05D49" w:rsidR="00260789" w:rsidRPr="00260789" w:rsidRDefault="00260789" w:rsidP="00260789">
      <w:pPr>
        <w:pStyle w:val="Ttulo2"/>
        <w:jc w:val="center"/>
        <w:rPr>
          <w:rFonts w:ascii="Times New Roman" w:hAnsi="Times New Roman" w:cs="Times New Roman"/>
          <w:i w:val="0"/>
          <w:iCs w:val="0"/>
        </w:rPr>
      </w:pPr>
      <w:r w:rsidRPr="00260789">
        <w:rPr>
          <w:rFonts w:ascii="Times New Roman" w:hAnsi="Times New Roman" w:cs="Times New Roman"/>
          <w:i w:val="0"/>
          <w:iCs w:val="0"/>
        </w:rPr>
        <w:t>RESOLUCIÓN IM/26.08</w:t>
      </w:r>
      <w:r>
        <w:rPr>
          <w:rFonts w:ascii="Times New Roman" w:hAnsi="Times New Roman" w:cs="Times New Roman"/>
          <w:i w:val="0"/>
          <w:iCs w:val="0"/>
        </w:rPr>
        <w:t>2</w:t>
      </w:r>
    </w:p>
    <w:p w14:paraId="1C9ED7A4" w14:textId="77777777" w:rsidR="00260789" w:rsidRDefault="00260789" w:rsidP="001E27BB">
      <w:pPr>
        <w:jc w:val="both"/>
        <w:rPr>
          <w:b/>
          <w:w w:val="110"/>
          <w:sz w:val="24"/>
          <w:szCs w:val="24"/>
        </w:rPr>
      </w:pPr>
    </w:p>
    <w:p w14:paraId="07D4242F" w14:textId="19DBB441" w:rsidR="00A7765B" w:rsidRPr="00260789" w:rsidRDefault="00A7765B" w:rsidP="001E27BB">
      <w:pPr>
        <w:jc w:val="both"/>
        <w:rPr>
          <w:sz w:val="24"/>
          <w:szCs w:val="24"/>
        </w:rPr>
      </w:pPr>
      <w:r w:rsidRPr="00260789">
        <w:rPr>
          <w:b/>
          <w:w w:val="110"/>
          <w:sz w:val="24"/>
          <w:szCs w:val="24"/>
        </w:rPr>
        <w:t>VISTO</w:t>
      </w:r>
      <w:r w:rsidRPr="00260789">
        <w:rPr>
          <w:w w:val="110"/>
          <w:sz w:val="24"/>
          <w:szCs w:val="24"/>
        </w:rPr>
        <w:t>:</w:t>
      </w:r>
    </w:p>
    <w:p w14:paraId="707CCAAE" w14:textId="77777777" w:rsidR="00A7765B" w:rsidRPr="00260789" w:rsidRDefault="00A7765B" w:rsidP="00260789">
      <w:pPr>
        <w:pStyle w:val="Textoindependiente"/>
        <w:spacing w:before="82"/>
        <w:jc w:val="both"/>
        <w:rPr>
          <w:sz w:val="24"/>
          <w:szCs w:val="24"/>
        </w:rPr>
      </w:pPr>
      <w:r w:rsidRPr="00260789">
        <w:rPr>
          <w:w w:val="105"/>
          <w:sz w:val="24"/>
          <w:szCs w:val="24"/>
        </w:rPr>
        <w:t xml:space="preserve">             Lo dispuesto por la Ley Orgánica de Municipalidades </w:t>
      </w:r>
      <w:proofErr w:type="spellStart"/>
      <w:r w:rsidRPr="00260789">
        <w:rPr>
          <w:w w:val="105"/>
          <w:sz w:val="24"/>
          <w:szCs w:val="24"/>
        </w:rPr>
        <w:t>N°</w:t>
      </w:r>
      <w:proofErr w:type="spellEnd"/>
      <w:r w:rsidRPr="00260789">
        <w:rPr>
          <w:w w:val="105"/>
          <w:sz w:val="24"/>
          <w:szCs w:val="24"/>
        </w:rPr>
        <w:t xml:space="preserve"> 2.756 previendo Ingresos y Egresos hasta la finalización de cada Ejercicio, permitiendo cubrir el normal funcionamiento del Municipio; y </w:t>
      </w:r>
    </w:p>
    <w:p w14:paraId="7E786A78" w14:textId="77777777" w:rsidR="00A7765B" w:rsidRPr="00260789" w:rsidRDefault="00A7765B" w:rsidP="001E27BB">
      <w:pPr>
        <w:pStyle w:val="Ttulo11"/>
        <w:spacing w:before="82"/>
        <w:ind w:left="0"/>
        <w:jc w:val="both"/>
        <w:rPr>
          <w:rFonts w:ascii="Times New Roman" w:hAnsi="Times New Roman" w:cs="Times New Roman"/>
          <w:w w:val="110"/>
          <w:sz w:val="24"/>
          <w:szCs w:val="24"/>
        </w:rPr>
      </w:pPr>
    </w:p>
    <w:p w14:paraId="6C998822" w14:textId="77777777" w:rsidR="00A7765B" w:rsidRPr="00260789" w:rsidRDefault="00A7765B" w:rsidP="001E27BB">
      <w:pPr>
        <w:pStyle w:val="Ttulo11"/>
        <w:spacing w:before="82"/>
        <w:ind w:left="0"/>
        <w:jc w:val="both"/>
        <w:rPr>
          <w:rFonts w:ascii="Times New Roman" w:hAnsi="Times New Roman" w:cs="Times New Roman"/>
          <w:sz w:val="24"/>
          <w:szCs w:val="24"/>
        </w:rPr>
      </w:pPr>
      <w:r w:rsidRPr="00260789">
        <w:rPr>
          <w:rFonts w:ascii="Times New Roman" w:hAnsi="Times New Roman" w:cs="Times New Roman"/>
          <w:w w:val="110"/>
          <w:sz w:val="24"/>
          <w:szCs w:val="24"/>
        </w:rPr>
        <w:t>CONSIDERANDO:</w:t>
      </w:r>
    </w:p>
    <w:p w14:paraId="59087B02" w14:textId="77777777" w:rsidR="00A7765B" w:rsidRPr="00260789" w:rsidRDefault="00A7765B" w:rsidP="001E27BB">
      <w:pPr>
        <w:pStyle w:val="Textoindependiente"/>
        <w:spacing w:before="82" w:line="276" w:lineRule="auto"/>
        <w:jc w:val="both"/>
        <w:rPr>
          <w:sz w:val="24"/>
          <w:szCs w:val="24"/>
        </w:rPr>
      </w:pPr>
      <w:r w:rsidRPr="00260789">
        <w:rPr>
          <w:sz w:val="24"/>
          <w:szCs w:val="24"/>
        </w:rPr>
        <w:t xml:space="preserve">                       </w:t>
      </w:r>
    </w:p>
    <w:p w14:paraId="3563E2E7" w14:textId="77777777" w:rsidR="00A7765B" w:rsidRPr="00260789" w:rsidRDefault="00A7765B" w:rsidP="00260789">
      <w:pPr>
        <w:pStyle w:val="Textoindependiente"/>
        <w:spacing w:before="82"/>
        <w:jc w:val="both"/>
        <w:rPr>
          <w:sz w:val="24"/>
          <w:szCs w:val="24"/>
        </w:rPr>
      </w:pPr>
      <w:r w:rsidRPr="00260789">
        <w:rPr>
          <w:sz w:val="24"/>
          <w:szCs w:val="24"/>
        </w:rPr>
        <w:tab/>
      </w:r>
      <w:r w:rsidRPr="00260789">
        <w:rPr>
          <w:sz w:val="24"/>
          <w:szCs w:val="24"/>
        </w:rPr>
        <w:tab/>
      </w:r>
      <w:r w:rsidRPr="00260789">
        <w:rPr>
          <w:sz w:val="24"/>
          <w:szCs w:val="24"/>
        </w:rPr>
        <w:tab/>
        <w:t>Que, a los fines de su cumplimiento, debe sancionarse la medida que fije el Presupuesto General de esta Administración para el Año 2024;</w:t>
      </w:r>
    </w:p>
    <w:p w14:paraId="54049654" w14:textId="77777777" w:rsidR="00A7765B" w:rsidRPr="00260789" w:rsidRDefault="00A7765B" w:rsidP="00260789">
      <w:pPr>
        <w:pStyle w:val="Textoindependiente"/>
        <w:spacing w:before="82"/>
        <w:jc w:val="both"/>
        <w:rPr>
          <w:sz w:val="24"/>
          <w:szCs w:val="24"/>
        </w:rPr>
      </w:pPr>
      <w:r w:rsidRPr="00260789">
        <w:rPr>
          <w:sz w:val="24"/>
          <w:szCs w:val="24"/>
        </w:rPr>
        <w:tab/>
      </w:r>
      <w:r w:rsidRPr="00260789">
        <w:rPr>
          <w:sz w:val="24"/>
          <w:szCs w:val="24"/>
        </w:rPr>
        <w:tab/>
      </w:r>
      <w:r w:rsidRPr="00260789">
        <w:rPr>
          <w:sz w:val="24"/>
          <w:szCs w:val="24"/>
        </w:rPr>
        <w:tab/>
        <w:t>Que, se ha evaluado debidamente la disponibilidad de recursos propios y de otras jurisdicciones;</w:t>
      </w:r>
    </w:p>
    <w:p w14:paraId="4F07E942" w14:textId="77777777" w:rsidR="00A7765B" w:rsidRPr="00260789" w:rsidRDefault="00A7765B" w:rsidP="00260789">
      <w:pPr>
        <w:pStyle w:val="Textoindependiente"/>
        <w:spacing w:before="82"/>
        <w:jc w:val="both"/>
        <w:rPr>
          <w:sz w:val="24"/>
          <w:szCs w:val="24"/>
        </w:rPr>
      </w:pPr>
      <w:r w:rsidRPr="00260789">
        <w:rPr>
          <w:sz w:val="24"/>
          <w:szCs w:val="24"/>
        </w:rPr>
        <w:tab/>
      </w:r>
      <w:r w:rsidRPr="00260789">
        <w:rPr>
          <w:sz w:val="24"/>
          <w:szCs w:val="24"/>
        </w:rPr>
        <w:tab/>
      </w:r>
      <w:r w:rsidRPr="00260789">
        <w:rPr>
          <w:sz w:val="24"/>
          <w:szCs w:val="24"/>
        </w:rPr>
        <w:tab/>
        <w:t>Que,</w:t>
      </w:r>
      <w:r w:rsidR="00530D47" w:rsidRPr="00260789">
        <w:rPr>
          <w:sz w:val="24"/>
          <w:szCs w:val="24"/>
        </w:rPr>
        <w:t xml:space="preserve"> el aumento del Presupuesto de Ingresos y su consecuente</w:t>
      </w:r>
      <w:r w:rsidR="008C19B1" w:rsidRPr="00260789">
        <w:rPr>
          <w:sz w:val="24"/>
          <w:szCs w:val="24"/>
        </w:rPr>
        <w:t xml:space="preserve"> aumento del Presupuesto de Egresos, obedece a Cálculos y Proyecciones efectuados por el Departamento Contable del Municipio;</w:t>
      </w:r>
    </w:p>
    <w:p w14:paraId="7D8C7385" w14:textId="77777777" w:rsidR="008C19B1" w:rsidRPr="00260789" w:rsidRDefault="008C19B1" w:rsidP="00260789">
      <w:pPr>
        <w:pStyle w:val="Textoindependiente"/>
        <w:spacing w:before="82"/>
        <w:jc w:val="both"/>
        <w:rPr>
          <w:sz w:val="24"/>
          <w:szCs w:val="24"/>
        </w:rPr>
      </w:pPr>
      <w:r w:rsidRPr="00260789">
        <w:rPr>
          <w:sz w:val="24"/>
          <w:szCs w:val="24"/>
        </w:rPr>
        <w:tab/>
      </w:r>
      <w:r w:rsidRPr="00260789">
        <w:rPr>
          <w:sz w:val="24"/>
          <w:szCs w:val="24"/>
        </w:rPr>
        <w:tab/>
      </w:r>
      <w:r w:rsidRPr="00260789">
        <w:rPr>
          <w:sz w:val="24"/>
          <w:szCs w:val="24"/>
        </w:rPr>
        <w:tab/>
        <w:t>Que, atento a lo normado en los Artículos 8º y 9º de la Ley Provincial Nº 7234 de Defensa en Juicio del Estado y sus modificaciones; resulta conveniente adoptar en forma expresa tales disposiciones en la Presente Ordenanza, alejando así cualquier tipo de duda acerca de la vigencia de las mismas, lo que redundará en beneficio de una mejor Administración Municipal y consecuentemente con ella, de la comunidad en general;</w:t>
      </w:r>
    </w:p>
    <w:p w14:paraId="1038C0C3" w14:textId="77777777" w:rsidR="00A7765B" w:rsidRPr="00260789" w:rsidRDefault="00A7765B" w:rsidP="00260789">
      <w:pPr>
        <w:pStyle w:val="Textoindependiente"/>
        <w:spacing w:before="82"/>
        <w:jc w:val="both"/>
        <w:rPr>
          <w:sz w:val="24"/>
          <w:szCs w:val="24"/>
        </w:rPr>
      </w:pPr>
      <w:r w:rsidRPr="00260789">
        <w:rPr>
          <w:sz w:val="24"/>
          <w:szCs w:val="24"/>
        </w:rPr>
        <w:tab/>
      </w:r>
      <w:r w:rsidRPr="00260789">
        <w:rPr>
          <w:sz w:val="24"/>
          <w:szCs w:val="24"/>
        </w:rPr>
        <w:tab/>
      </w:r>
      <w:r w:rsidRPr="00260789">
        <w:rPr>
          <w:sz w:val="24"/>
          <w:szCs w:val="24"/>
        </w:rPr>
        <w:tab/>
        <w:t>Que, las erogaciones guardan un equilibrio en los diversos aspectos del accionar municipal;</w:t>
      </w:r>
    </w:p>
    <w:p w14:paraId="14DE2EC6" w14:textId="155A966A" w:rsidR="00A7765B" w:rsidRPr="00260789" w:rsidRDefault="00A7765B" w:rsidP="001E27BB">
      <w:pPr>
        <w:pStyle w:val="Textoindependiente"/>
        <w:spacing w:before="76" w:line="276" w:lineRule="auto"/>
        <w:ind w:firstLine="598"/>
        <w:jc w:val="both"/>
        <w:rPr>
          <w:sz w:val="24"/>
          <w:szCs w:val="24"/>
        </w:rPr>
      </w:pPr>
      <w:r w:rsidRPr="00260789">
        <w:rPr>
          <w:sz w:val="24"/>
          <w:szCs w:val="24"/>
        </w:rPr>
        <w:t xml:space="preserve">                         Por</w:t>
      </w:r>
      <w:r w:rsidRPr="00260789">
        <w:rPr>
          <w:spacing w:val="47"/>
          <w:sz w:val="24"/>
          <w:szCs w:val="24"/>
        </w:rPr>
        <w:t xml:space="preserve"> </w:t>
      </w:r>
      <w:r w:rsidRPr="00260789">
        <w:rPr>
          <w:sz w:val="24"/>
          <w:szCs w:val="24"/>
        </w:rPr>
        <w:t>todo</w:t>
      </w:r>
      <w:r w:rsidRPr="00260789">
        <w:rPr>
          <w:spacing w:val="49"/>
          <w:sz w:val="24"/>
          <w:szCs w:val="24"/>
        </w:rPr>
        <w:t xml:space="preserve"> </w:t>
      </w:r>
      <w:r w:rsidRPr="00260789">
        <w:rPr>
          <w:sz w:val="24"/>
          <w:szCs w:val="24"/>
        </w:rPr>
        <w:t xml:space="preserve">ello, </w:t>
      </w:r>
      <w:r w:rsidR="00260789">
        <w:rPr>
          <w:sz w:val="24"/>
          <w:szCs w:val="24"/>
        </w:rPr>
        <w:t>el</w:t>
      </w:r>
      <w:r w:rsidRPr="00260789">
        <w:rPr>
          <w:sz w:val="24"/>
          <w:szCs w:val="24"/>
        </w:rPr>
        <w:t xml:space="preserve"> Intendente Municipal,</w:t>
      </w:r>
      <w:r w:rsidRPr="00260789">
        <w:rPr>
          <w:spacing w:val="49"/>
          <w:sz w:val="24"/>
          <w:szCs w:val="24"/>
        </w:rPr>
        <w:t xml:space="preserve"> </w:t>
      </w:r>
      <w:r w:rsidRPr="00260789">
        <w:rPr>
          <w:sz w:val="24"/>
          <w:szCs w:val="24"/>
        </w:rPr>
        <w:t>en</w:t>
      </w:r>
      <w:r w:rsidRPr="00260789">
        <w:rPr>
          <w:spacing w:val="49"/>
          <w:sz w:val="24"/>
          <w:szCs w:val="24"/>
        </w:rPr>
        <w:t xml:space="preserve"> </w:t>
      </w:r>
      <w:r w:rsidRPr="00260789">
        <w:rPr>
          <w:sz w:val="24"/>
          <w:szCs w:val="24"/>
        </w:rPr>
        <w:t>uso</w:t>
      </w:r>
      <w:r w:rsidRPr="00260789">
        <w:rPr>
          <w:spacing w:val="48"/>
          <w:sz w:val="24"/>
          <w:szCs w:val="24"/>
        </w:rPr>
        <w:t xml:space="preserve"> </w:t>
      </w:r>
      <w:r w:rsidRPr="00260789">
        <w:rPr>
          <w:sz w:val="24"/>
          <w:szCs w:val="24"/>
        </w:rPr>
        <w:t>de</w:t>
      </w:r>
      <w:r w:rsidRPr="00260789">
        <w:rPr>
          <w:spacing w:val="47"/>
          <w:sz w:val="24"/>
          <w:szCs w:val="24"/>
        </w:rPr>
        <w:t xml:space="preserve"> </w:t>
      </w:r>
      <w:r w:rsidRPr="00260789">
        <w:rPr>
          <w:sz w:val="24"/>
          <w:szCs w:val="24"/>
        </w:rPr>
        <w:t>las</w:t>
      </w:r>
      <w:r w:rsidRPr="00260789">
        <w:rPr>
          <w:spacing w:val="48"/>
          <w:sz w:val="24"/>
          <w:szCs w:val="24"/>
        </w:rPr>
        <w:t xml:space="preserve"> </w:t>
      </w:r>
      <w:r w:rsidRPr="00260789">
        <w:rPr>
          <w:sz w:val="24"/>
          <w:szCs w:val="24"/>
        </w:rPr>
        <w:t>atribuciones</w:t>
      </w:r>
      <w:r w:rsidRPr="00260789">
        <w:rPr>
          <w:spacing w:val="48"/>
          <w:sz w:val="24"/>
          <w:szCs w:val="24"/>
        </w:rPr>
        <w:t xml:space="preserve"> </w:t>
      </w:r>
      <w:r w:rsidRPr="00260789">
        <w:rPr>
          <w:sz w:val="24"/>
          <w:szCs w:val="24"/>
        </w:rPr>
        <w:t>que</w:t>
      </w:r>
      <w:r w:rsidRPr="00260789">
        <w:rPr>
          <w:spacing w:val="48"/>
          <w:sz w:val="24"/>
          <w:szCs w:val="24"/>
        </w:rPr>
        <w:t xml:space="preserve"> </w:t>
      </w:r>
      <w:r w:rsidRPr="00260789">
        <w:rPr>
          <w:sz w:val="24"/>
          <w:szCs w:val="24"/>
        </w:rPr>
        <w:t>le</w:t>
      </w:r>
      <w:r w:rsidRPr="00260789">
        <w:rPr>
          <w:spacing w:val="47"/>
          <w:sz w:val="24"/>
          <w:szCs w:val="24"/>
        </w:rPr>
        <w:t xml:space="preserve"> </w:t>
      </w:r>
      <w:proofErr w:type="spellStart"/>
      <w:r w:rsidRPr="00260789">
        <w:rPr>
          <w:sz w:val="24"/>
          <w:szCs w:val="24"/>
        </w:rPr>
        <w:t>conﬁere</w:t>
      </w:r>
      <w:proofErr w:type="spellEnd"/>
      <w:r w:rsidRPr="00260789">
        <w:rPr>
          <w:spacing w:val="49"/>
          <w:sz w:val="24"/>
          <w:szCs w:val="24"/>
        </w:rPr>
        <w:t xml:space="preserve"> </w:t>
      </w:r>
      <w:r w:rsidRPr="00260789">
        <w:rPr>
          <w:sz w:val="24"/>
          <w:szCs w:val="24"/>
        </w:rPr>
        <w:t>la</w:t>
      </w:r>
      <w:r w:rsidRPr="00260789">
        <w:rPr>
          <w:spacing w:val="48"/>
          <w:sz w:val="24"/>
          <w:szCs w:val="24"/>
        </w:rPr>
        <w:t xml:space="preserve"> </w:t>
      </w:r>
      <w:r w:rsidRPr="00260789">
        <w:rPr>
          <w:sz w:val="24"/>
          <w:szCs w:val="24"/>
        </w:rPr>
        <w:t>Ley</w:t>
      </w:r>
      <w:r w:rsidRPr="00260789">
        <w:rPr>
          <w:spacing w:val="48"/>
          <w:sz w:val="24"/>
          <w:szCs w:val="24"/>
        </w:rPr>
        <w:t xml:space="preserve"> </w:t>
      </w:r>
      <w:r w:rsidRPr="00260789">
        <w:rPr>
          <w:sz w:val="24"/>
          <w:szCs w:val="24"/>
        </w:rPr>
        <w:t>Orgánica</w:t>
      </w:r>
      <w:r w:rsidRPr="00260789">
        <w:rPr>
          <w:spacing w:val="47"/>
          <w:sz w:val="24"/>
          <w:szCs w:val="24"/>
        </w:rPr>
        <w:t xml:space="preserve"> </w:t>
      </w:r>
      <w:r w:rsidRPr="00260789">
        <w:rPr>
          <w:sz w:val="24"/>
          <w:szCs w:val="24"/>
        </w:rPr>
        <w:t>de</w:t>
      </w:r>
      <w:r w:rsidRPr="00260789">
        <w:rPr>
          <w:spacing w:val="1"/>
          <w:sz w:val="24"/>
          <w:szCs w:val="24"/>
        </w:rPr>
        <w:t xml:space="preserve"> </w:t>
      </w:r>
      <w:r w:rsidRPr="00260789">
        <w:rPr>
          <w:sz w:val="24"/>
          <w:szCs w:val="24"/>
        </w:rPr>
        <w:t>Municipalidades</w:t>
      </w:r>
      <w:r w:rsidRPr="00260789">
        <w:rPr>
          <w:spacing w:val="37"/>
          <w:sz w:val="24"/>
          <w:szCs w:val="24"/>
        </w:rPr>
        <w:t xml:space="preserve"> </w:t>
      </w:r>
      <w:r w:rsidRPr="00260789">
        <w:rPr>
          <w:sz w:val="24"/>
          <w:szCs w:val="24"/>
        </w:rPr>
        <w:t>Nº</w:t>
      </w:r>
      <w:r w:rsidRPr="00260789">
        <w:rPr>
          <w:spacing w:val="38"/>
          <w:sz w:val="24"/>
          <w:szCs w:val="24"/>
        </w:rPr>
        <w:t xml:space="preserve"> </w:t>
      </w:r>
      <w:r w:rsidRPr="00260789">
        <w:rPr>
          <w:sz w:val="24"/>
          <w:szCs w:val="24"/>
        </w:rPr>
        <w:t xml:space="preserve">2.756: </w:t>
      </w:r>
    </w:p>
    <w:p w14:paraId="2AB51781" w14:textId="77777777" w:rsidR="008C19B1" w:rsidRPr="00260789" w:rsidRDefault="008C19B1" w:rsidP="001E27BB">
      <w:pPr>
        <w:pStyle w:val="Textoindependiente"/>
        <w:spacing w:before="76" w:line="276" w:lineRule="auto"/>
        <w:ind w:firstLine="598"/>
        <w:jc w:val="both"/>
        <w:rPr>
          <w:sz w:val="24"/>
          <w:szCs w:val="24"/>
        </w:rPr>
      </w:pPr>
    </w:p>
    <w:p w14:paraId="005384D6" w14:textId="77777777" w:rsidR="008C19B1" w:rsidRPr="00260789" w:rsidRDefault="008C19B1" w:rsidP="00260789">
      <w:pPr>
        <w:pStyle w:val="Textoindependiente"/>
        <w:spacing w:before="76" w:line="276" w:lineRule="auto"/>
        <w:ind w:firstLine="598"/>
        <w:jc w:val="center"/>
        <w:rPr>
          <w:b/>
          <w:sz w:val="24"/>
          <w:szCs w:val="24"/>
        </w:rPr>
      </w:pPr>
      <w:r w:rsidRPr="00260789">
        <w:rPr>
          <w:b/>
          <w:sz w:val="24"/>
          <w:szCs w:val="24"/>
        </w:rPr>
        <w:t>RESUELVE:</w:t>
      </w:r>
    </w:p>
    <w:p w14:paraId="1F1BB879" w14:textId="5129ED68" w:rsidR="008C19B1" w:rsidRPr="00260789" w:rsidRDefault="008C19B1" w:rsidP="001E27BB">
      <w:pPr>
        <w:pStyle w:val="Textoindependiente"/>
        <w:spacing w:before="76" w:line="276" w:lineRule="auto"/>
        <w:ind w:firstLine="598"/>
        <w:jc w:val="both"/>
        <w:rPr>
          <w:sz w:val="24"/>
          <w:szCs w:val="24"/>
        </w:rPr>
      </w:pPr>
      <w:r w:rsidRPr="00260789">
        <w:rPr>
          <w:b/>
          <w:sz w:val="24"/>
          <w:szCs w:val="24"/>
        </w:rPr>
        <w:tab/>
      </w:r>
      <w:r w:rsidRPr="00260789">
        <w:rPr>
          <w:b/>
          <w:sz w:val="24"/>
          <w:szCs w:val="24"/>
        </w:rPr>
        <w:tab/>
      </w:r>
      <w:r w:rsidRPr="00260789">
        <w:rPr>
          <w:b/>
          <w:sz w:val="24"/>
          <w:szCs w:val="24"/>
        </w:rPr>
        <w:tab/>
      </w:r>
      <w:r w:rsidR="00260789">
        <w:rPr>
          <w:b/>
          <w:sz w:val="24"/>
          <w:szCs w:val="24"/>
        </w:rPr>
        <w:t xml:space="preserve">Art 1º.)  </w:t>
      </w:r>
      <w:r w:rsidRPr="00260789">
        <w:rPr>
          <w:sz w:val="24"/>
          <w:szCs w:val="24"/>
        </w:rPr>
        <w:t>Elevar al Honorable Concejo Municipal el siguiente Proyecto de Ordenanza para su correspondiente estudio y aprobación;</w:t>
      </w:r>
    </w:p>
    <w:p w14:paraId="0580AC50" w14:textId="0CD80E60" w:rsidR="007E12FC" w:rsidRPr="00260789" w:rsidRDefault="00802861" w:rsidP="00260789">
      <w:pPr>
        <w:pStyle w:val="Ttulo11"/>
        <w:ind w:left="0"/>
        <w:jc w:val="center"/>
        <w:rPr>
          <w:rFonts w:ascii="Times New Roman" w:hAnsi="Times New Roman" w:cs="Times New Roman"/>
          <w:sz w:val="24"/>
          <w:szCs w:val="24"/>
        </w:rPr>
      </w:pPr>
      <w:r>
        <w:rPr>
          <w:rFonts w:ascii="Times New Roman" w:hAnsi="Times New Roman" w:cs="Times New Roman"/>
          <w:w w:val="115"/>
          <w:sz w:val="24"/>
          <w:szCs w:val="24"/>
        </w:rPr>
        <w:t xml:space="preserve"> PROYECTO DE </w:t>
      </w:r>
      <w:r w:rsidR="007E12FC" w:rsidRPr="00260789">
        <w:rPr>
          <w:rFonts w:ascii="Times New Roman" w:hAnsi="Times New Roman" w:cs="Times New Roman"/>
          <w:w w:val="115"/>
          <w:sz w:val="24"/>
          <w:szCs w:val="24"/>
        </w:rPr>
        <w:t>ORDENANZA</w:t>
      </w:r>
    </w:p>
    <w:p w14:paraId="345F3D53" w14:textId="77777777" w:rsidR="007E12FC" w:rsidRPr="00260789" w:rsidRDefault="007E12FC" w:rsidP="001E27BB">
      <w:pPr>
        <w:pStyle w:val="Textoindependiente"/>
        <w:spacing w:before="76" w:line="276" w:lineRule="auto"/>
        <w:ind w:firstLine="598"/>
        <w:jc w:val="both"/>
        <w:rPr>
          <w:sz w:val="24"/>
          <w:szCs w:val="24"/>
        </w:rPr>
      </w:pPr>
    </w:p>
    <w:p w14:paraId="23030EBC" w14:textId="77777777" w:rsidR="00161D38" w:rsidRPr="00260789" w:rsidRDefault="00161D38" w:rsidP="00964DB1">
      <w:pPr>
        <w:suppressAutoHyphens w:val="0"/>
        <w:spacing w:after="160"/>
        <w:ind w:firstLine="708"/>
        <w:jc w:val="both"/>
        <w:rPr>
          <w:sz w:val="24"/>
          <w:szCs w:val="24"/>
          <w:lang w:eastAsia="es-ES"/>
        </w:rPr>
      </w:pPr>
      <w:r w:rsidRPr="00260789">
        <w:rPr>
          <w:b/>
          <w:sz w:val="24"/>
          <w:szCs w:val="24"/>
          <w:lang w:eastAsia="es-ES"/>
        </w:rPr>
        <w:t>ARTÍCULO</w:t>
      </w:r>
      <w:r w:rsidRPr="00260789">
        <w:rPr>
          <w:b/>
          <w:spacing w:val="61"/>
          <w:sz w:val="24"/>
          <w:szCs w:val="24"/>
          <w:lang w:eastAsia="es-ES"/>
        </w:rPr>
        <w:t xml:space="preserve"> </w:t>
      </w:r>
      <w:r w:rsidRPr="00260789">
        <w:rPr>
          <w:b/>
          <w:sz w:val="24"/>
          <w:szCs w:val="24"/>
          <w:lang w:eastAsia="es-ES"/>
        </w:rPr>
        <w:t xml:space="preserve">1°: </w:t>
      </w:r>
      <w:r w:rsidRPr="00260789">
        <w:rPr>
          <w:sz w:val="24"/>
          <w:szCs w:val="24"/>
          <w:lang w:eastAsia="es-ES"/>
        </w:rPr>
        <w:t>Fíjese en la suma de $ 4.281.807.336,59- (Pesos cuatro mil doscientos ochenta y un millones ochocientos siete mil trescientos treinta y seis con cincuenta y nueve centavos) el Total General de Erogaciones del Presupuesto General de la Administración Municip</w:t>
      </w:r>
      <w:r w:rsidR="001E27BB" w:rsidRPr="00260789">
        <w:rPr>
          <w:sz w:val="24"/>
          <w:szCs w:val="24"/>
          <w:lang w:eastAsia="es-ES"/>
        </w:rPr>
        <w:t>al para el año 2024, conforme a planilla adjunta.</w:t>
      </w:r>
      <w:r w:rsidRPr="00260789">
        <w:rPr>
          <w:sz w:val="24"/>
          <w:szCs w:val="24"/>
          <w:lang w:eastAsia="es-ES"/>
        </w:rPr>
        <w:t xml:space="preserve"> </w:t>
      </w:r>
    </w:p>
    <w:p w14:paraId="6B28A451" w14:textId="77777777" w:rsidR="00BA0784" w:rsidRPr="00260789" w:rsidRDefault="00BA0784" w:rsidP="00964DB1">
      <w:pPr>
        <w:spacing w:after="160" w:line="276" w:lineRule="auto"/>
        <w:ind w:firstLine="598"/>
        <w:jc w:val="both"/>
        <w:rPr>
          <w:sz w:val="24"/>
          <w:szCs w:val="24"/>
        </w:rPr>
      </w:pPr>
      <w:r w:rsidRPr="00260789">
        <w:rPr>
          <w:b/>
          <w:sz w:val="24"/>
          <w:szCs w:val="24"/>
        </w:rPr>
        <w:t>ARTÍCULO</w:t>
      </w:r>
      <w:r w:rsidRPr="00260789">
        <w:rPr>
          <w:b/>
          <w:spacing w:val="61"/>
          <w:sz w:val="24"/>
          <w:szCs w:val="24"/>
        </w:rPr>
        <w:t xml:space="preserve"> </w:t>
      </w:r>
      <w:r w:rsidRPr="00260789">
        <w:rPr>
          <w:b/>
          <w:sz w:val="24"/>
          <w:szCs w:val="24"/>
        </w:rPr>
        <w:t>2°:</w:t>
      </w:r>
      <w:r w:rsidRPr="00260789">
        <w:rPr>
          <w:sz w:val="24"/>
          <w:szCs w:val="24"/>
        </w:rPr>
        <w:t xml:space="preserve"> Estímese en la suma de</w:t>
      </w:r>
      <w:r w:rsidRPr="00260789">
        <w:rPr>
          <w:sz w:val="24"/>
          <w:szCs w:val="24"/>
          <w:lang w:eastAsia="es-ES"/>
        </w:rPr>
        <w:t xml:space="preserve">$ 4.281.807.336,59- (Pesos cuatro mil doscientos ochenta y un millones ochocientos siete mil trescientos treinta y seis con cincuenta y nueve centavos) </w:t>
      </w:r>
      <w:r w:rsidRPr="00260789">
        <w:rPr>
          <w:sz w:val="24"/>
          <w:szCs w:val="24"/>
        </w:rPr>
        <w:t xml:space="preserve">el Total de Recursos destinados a atender las Erogaciones a que refiere el Artículo 1°, </w:t>
      </w:r>
      <w:r w:rsidR="001E27BB" w:rsidRPr="00260789">
        <w:rPr>
          <w:sz w:val="24"/>
          <w:szCs w:val="24"/>
        </w:rPr>
        <w:t>conforme a planilla adjunta.</w:t>
      </w:r>
    </w:p>
    <w:p w14:paraId="2EBD49EE" w14:textId="77777777" w:rsidR="007E12FC" w:rsidRDefault="00BA0784" w:rsidP="00964DB1">
      <w:pPr>
        <w:pStyle w:val="Gobiernodependencia"/>
        <w:spacing w:after="160" w:line="276" w:lineRule="auto"/>
        <w:ind w:firstLine="598"/>
        <w:jc w:val="both"/>
        <w:rPr>
          <w:rFonts w:ascii="Times New Roman" w:hAnsi="Times New Roman"/>
          <w:sz w:val="24"/>
          <w:szCs w:val="24"/>
        </w:rPr>
      </w:pPr>
      <w:r w:rsidRPr="00260789">
        <w:rPr>
          <w:rFonts w:ascii="Times New Roman" w:hAnsi="Times New Roman"/>
          <w:b/>
          <w:sz w:val="24"/>
          <w:szCs w:val="24"/>
        </w:rPr>
        <w:t>ARTÍCULO</w:t>
      </w:r>
      <w:r w:rsidRPr="00260789">
        <w:rPr>
          <w:rFonts w:ascii="Times New Roman" w:hAnsi="Times New Roman"/>
          <w:b/>
          <w:spacing w:val="61"/>
          <w:sz w:val="24"/>
          <w:szCs w:val="24"/>
        </w:rPr>
        <w:t xml:space="preserve"> </w:t>
      </w:r>
      <w:r w:rsidRPr="00260789">
        <w:rPr>
          <w:rFonts w:ascii="Times New Roman" w:hAnsi="Times New Roman"/>
          <w:b/>
          <w:sz w:val="24"/>
          <w:szCs w:val="24"/>
        </w:rPr>
        <w:t>3°:</w:t>
      </w:r>
      <w:r w:rsidR="004A354C" w:rsidRPr="00260789">
        <w:rPr>
          <w:rFonts w:ascii="Times New Roman" w:hAnsi="Times New Roman"/>
          <w:sz w:val="24"/>
          <w:szCs w:val="24"/>
        </w:rPr>
        <w:t xml:space="preserve"> facultase al Departamento Ejecutivo Municipal a reconducir partidas presupuestarias en caso de que se prevea defecto en algunas y exceso en otras; con la única limitación de </w:t>
      </w:r>
      <w:r w:rsidR="004A354C" w:rsidRPr="00260789">
        <w:rPr>
          <w:rFonts w:ascii="Times New Roman" w:hAnsi="Times New Roman"/>
          <w:sz w:val="24"/>
          <w:szCs w:val="24"/>
        </w:rPr>
        <w:lastRenderedPageBreak/>
        <w:t>no alterar el monto de las Part</w:t>
      </w:r>
      <w:r w:rsidR="007E12FC" w:rsidRPr="00260789">
        <w:rPr>
          <w:rFonts w:ascii="Times New Roman" w:hAnsi="Times New Roman"/>
          <w:sz w:val="24"/>
          <w:szCs w:val="24"/>
        </w:rPr>
        <w:t>idas Principales de EROGACIONES, siguiendo los lineamientos del art. 28 de la Ley 12.510.</w:t>
      </w:r>
    </w:p>
    <w:p w14:paraId="30F6BE8C" w14:textId="04F8C054" w:rsidR="00260789" w:rsidRDefault="00260789" w:rsidP="00964DB1">
      <w:pPr>
        <w:pStyle w:val="Gobiernodependencia"/>
        <w:spacing w:after="160" w:line="276" w:lineRule="auto"/>
        <w:ind w:firstLine="598"/>
        <w:jc w:val="both"/>
        <w:rPr>
          <w:rFonts w:ascii="Times New Roman" w:hAnsi="Times New Roman"/>
          <w:sz w:val="24"/>
          <w:szCs w:val="24"/>
        </w:rPr>
      </w:pPr>
      <w:r w:rsidRPr="00260789">
        <w:rPr>
          <w:rFonts w:ascii="Times New Roman" w:hAnsi="Times New Roman"/>
          <w:b/>
          <w:sz w:val="24"/>
          <w:szCs w:val="24"/>
        </w:rPr>
        <w:t>ARTÍCULO</w:t>
      </w:r>
      <w:r w:rsidRPr="00260789">
        <w:rPr>
          <w:rFonts w:ascii="Times New Roman" w:hAnsi="Times New Roman"/>
          <w:b/>
          <w:spacing w:val="61"/>
          <w:sz w:val="24"/>
          <w:szCs w:val="24"/>
        </w:rPr>
        <w:t xml:space="preserve"> </w:t>
      </w:r>
      <w:r w:rsidRPr="00260789">
        <w:rPr>
          <w:rFonts w:ascii="Times New Roman" w:hAnsi="Times New Roman"/>
          <w:b/>
          <w:sz w:val="24"/>
          <w:szCs w:val="24"/>
        </w:rPr>
        <w:t xml:space="preserve">4°: </w:t>
      </w:r>
      <w:r w:rsidRPr="00260789">
        <w:rPr>
          <w:rFonts w:ascii="Times New Roman" w:hAnsi="Times New Roman"/>
          <w:sz w:val="24"/>
          <w:szCs w:val="24"/>
        </w:rPr>
        <w:t>Cuando el Presupuesto de Recursos sea superado por el total estimado a ingresar durante el ejercicio, dicha diferencia posibilitará incrementar las partidas presupuestarias que lo requieran o bien constituirse como remanente para el ejercicio siguiente</w:t>
      </w:r>
    </w:p>
    <w:p w14:paraId="55759CF3" w14:textId="77777777" w:rsidR="00260789" w:rsidRPr="00260789" w:rsidRDefault="00260789" w:rsidP="00964DB1">
      <w:pPr>
        <w:spacing w:after="160" w:line="276" w:lineRule="auto"/>
        <w:ind w:firstLine="598"/>
        <w:jc w:val="both"/>
        <w:rPr>
          <w:sz w:val="24"/>
          <w:szCs w:val="24"/>
        </w:rPr>
      </w:pPr>
      <w:r w:rsidRPr="00260789">
        <w:rPr>
          <w:b/>
          <w:sz w:val="24"/>
          <w:szCs w:val="24"/>
        </w:rPr>
        <w:t>ARTÍCULO</w:t>
      </w:r>
      <w:r w:rsidRPr="00260789">
        <w:rPr>
          <w:b/>
          <w:spacing w:val="61"/>
          <w:sz w:val="24"/>
          <w:szCs w:val="24"/>
        </w:rPr>
        <w:t xml:space="preserve"> </w:t>
      </w:r>
      <w:r w:rsidRPr="00260789">
        <w:rPr>
          <w:b/>
          <w:sz w:val="24"/>
          <w:szCs w:val="24"/>
        </w:rPr>
        <w:t xml:space="preserve">5°: </w:t>
      </w:r>
      <w:r w:rsidRPr="00260789">
        <w:rPr>
          <w:sz w:val="24"/>
          <w:szCs w:val="24"/>
        </w:rPr>
        <w:t xml:space="preserve">Autorícese al Departamento Ejecutivo Municipal a modificar el Presupuesto General incorporando las partidas necesarias o incrementando las ya previstas, cuando deba realizar erogaciones originadas por la adhesión a Leyes, Decretos y Convenios Nacionales o Provinciales en vigencia dentro del ámbito municipal. Dicha autorización estará limitada a los aportes que a tal efecto dispongan el Gobierno Nacional y/o Provincial. </w:t>
      </w:r>
    </w:p>
    <w:p w14:paraId="1C12F60A" w14:textId="1B341A63" w:rsidR="00260789" w:rsidRPr="00260789" w:rsidRDefault="00260789" w:rsidP="00964DB1">
      <w:pPr>
        <w:spacing w:after="160" w:line="276" w:lineRule="auto"/>
        <w:jc w:val="both"/>
        <w:rPr>
          <w:sz w:val="24"/>
          <w:szCs w:val="24"/>
        </w:rPr>
      </w:pPr>
      <w:r>
        <w:rPr>
          <w:b/>
          <w:sz w:val="24"/>
          <w:szCs w:val="24"/>
        </w:rPr>
        <w:t xml:space="preserve"> </w:t>
      </w:r>
      <w:r>
        <w:rPr>
          <w:b/>
          <w:sz w:val="24"/>
          <w:szCs w:val="24"/>
        </w:rPr>
        <w:tab/>
      </w:r>
      <w:r w:rsidRPr="00260789">
        <w:rPr>
          <w:b/>
          <w:sz w:val="24"/>
          <w:szCs w:val="24"/>
        </w:rPr>
        <w:t>ARTÍCULO</w:t>
      </w:r>
      <w:r w:rsidRPr="00260789">
        <w:rPr>
          <w:b/>
          <w:spacing w:val="61"/>
          <w:sz w:val="24"/>
          <w:szCs w:val="24"/>
        </w:rPr>
        <w:t xml:space="preserve"> </w:t>
      </w:r>
      <w:r w:rsidRPr="00260789">
        <w:rPr>
          <w:b/>
          <w:sz w:val="24"/>
          <w:szCs w:val="24"/>
        </w:rPr>
        <w:t xml:space="preserve">6°: </w:t>
      </w:r>
      <w:r w:rsidRPr="00260789">
        <w:rPr>
          <w:sz w:val="24"/>
          <w:szCs w:val="24"/>
        </w:rPr>
        <w:t xml:space="preserve">Aprobar el Clasificador Uniforme de la estructura del Presupuesto General de la Administración Municipal del Ejercicio Financiero del año 2024 y sus conceptualizaciones, elaborado por la Secretaría de Gobierno y la Subsecretaría de Hacienda del Municipio, de acuerdo con la metodología informada en esta oportunidad por la Secretaría de Municipios y Comunas de la Provincia de Santa </w:t>
      </w:r>
      <w:proofErr w:type="gramStart"/>
      <w:r w:rsidRPr="00260789">
        <w:rPr>
          <w:sz w:val="24"/>
          <w:szCs w:val="24"/>
        </w:rPr>
        <w:t>Fe.-</w:t>
      </w:r>
      <w:proofErr w:type="gramEnd"/>
    </w:p>
    <w:p w14:paraId="1E75965B" w14:textId="13E50CF6" w:rsidR="00260789" w:rsidRPr="00260789" w:rsidRDefault="00260789" w:rsidP="00964DB1">
      <w:pPr>
        <w:spacing w:after="160" w:line="276" w:lineRule="auto"/>
        <w:ind w:firstLine="708"/>
        <w:jc w:val="both"/>
        <w:rPr>
          <w:sz w:val="24"/>
          <w:szCs w:val="24"/>
        </w:rPr>
      </w:pPr>
      <w:r w:rsidRPr="00260789">
        <w:rPr>
          <w:b/>
          <w:sz w:val="24"/>
          <w:szCs w:val="24"/>
        </w:rPr>
        <w:t>ARTÍCULO</w:t>
      </w:r>
      <w:r w:rsidRPr="00260789">
        <w:rPr>
          <w:b/>
          <w:spacing w:val="61"/>
          <w:sz w:val="24"/>
          <w:szCs w:val="24"/>
        </w:rPr>
        <w:t xml:space="preserve"> </w:t>
      </w:r>
      <w:r w:rsidRPr="00260789">
        <w:rPr>
          <w:b/>
          <w:sz w:val="24"/>
          <w:szCs w:val="24"/>
        </w:rPr>
        <w:t>7°:</w:t>
      </w:r>
      <w:r w:rsidRPr="00260789">
        <w:rPr>
          <w:sz w:val="24"/>
          <w:szCs w:val="24"/>
        </w:rPr>
        <w:t xml:space="preserve"> La presente ordenanza tendrá vigencia a partir del día primero de </w:t>
      </w:r>
      <w:proofErr w:type="gramStart"/>
      <w:r w:rsidRPr="00260789">
        <w:rPr>
          <w:sz w:val="24"/>
          <w:szCs w:val="24"/>
        </w:rPr>
        <w:t>Enero</w:t>
      </w:r>
      <w:proofErr w:type="gramEnd"/>
      <w:r w:rsidRPr="00260789">
        <w:rPr>
          <w:sz w:val="24"/>
          <w:szCs w:val="24"/>
        </w:rPr>
        <w:t xml:space="preserve"> del año 2024.-</w:t>
      </w:r>
    </w:p>
    <w:p w14:paraId="2015E7CB" w14:textId="552EF862" w:rsidR="00260789" w:rsidRDefault="00260789" w:rsidP="00964DB1">
      <w:pPr>
        <w:spacing w:after="160" w:line="276" w:lineRule="auto"/>
        <w:ind w:firstLine="708"/>
        <w:jc w:val="both"/>
        <w:rPr>
          <w:sz w:val="24"/>
          <w:szCs w:val="24"/>
        </w:rPr>
      </w:pPr>
      <w:r w:rsidRPr="00260789">
        <w:rPr>
          <w:b/>
          <w:sz w:val="24"/>
          <w:szCs w:val="24"/>
        </w:rPr>
        <w:t>ARTÍCULO</w:t>
      </w:r>
      <w:r w:rsidRPr="00260789">
        <w:rPr>
          <w:b/>
          <w:spacing w:val="61"/>
          <w:sz w:val="24"/>
          <w:szCs w:val="24"/>
        </w:rPr>
        <w:t xml:space="preserve"> </w:t>
      </w:r>
      <w:r w:rsidRPr="00260789">
        <w:rPr>
          <w:b/>
          <w:sz w:val="24"/>
          <w:szCs w:val="24"/>
        </w:rPr>
        <w:t xml:space="preserve">8°: </w:t>
      </w:r>
      <w:r w:rsidRPr="00260789">
        <w:rPr>
          <w:sz w:val="24"/>
          <w:szCs w:val="24"/>
        </w:rPr>
        <w:t xml:space="preserve">De </w:t>
      </w:r>
      <w:proofErr w:type="gramStart"/>
      <w:r w:rsidRPr="00260789">
        <w:rPr>
          <w:sz w:val="24"/>
          <w:szCs w:val="24"/>
        </w:rPr>
        <w:t>forma.-</w:t>
      </w:r>
      <w:proofErr w:type="gramEnd"/>
    </w:p>
    <w:p w14:paraId="200BADA2" w14:textId="77777777" w:rsidR="00260789" w:rsidRDefault="00260789" w:rsidP="00260789">
      <w:pPr>
        <w:spacing w:line="276" w:lineRule="auto"/>
        <w:ind w:firstLine="708"/>
        <w:jc w:val="both"/>
        <w:rPr>
          <w:sz w:val="24"/>
          <w:szCs w:val="24"/>
        </w:rPr>
      </w:pPr>
    </w:p>
    <w:p w14:paraId="29E0FA74" w14:textId="77777777" w:rsidR="00802861" w:rsidRDefault="00260789" w:rsidP="00802861">
      <w:pPr>
        <w:jc w:val="both"/>
        <w:rPr>
          <w:sz w:val="24"/>
        </w:rPr>
      </w:pPr>
      <w:r>
        <w:rPr>
          <w:b/>
          <w:sz w:val="24"/>
          <w:szCs w:val="24"/>
        </w:rPr>
        <w:t xml:space="preserve">Art 2º.) </w:t>
      </w:r>
      <w:r w:rsidR="00802861">
        <w:rPr>
          <w:sz w:val="24"/>
        </w:rPr>
        <w:t xml:space="preserve">Comuníquese, Publíquese, </w:t>
      </w:r>
      <w:proofErr w:type="spellStart"/>
      <w:r w:rsidR="00802861">
        <w:rPr>
          <w:sz w:val="24"/>
        </w:rPr>
        <w:t>Dése</w:t>
      </w:r>
      <w:proofErr w:type="spellEnd"/>
      <w:r w:rsidR="00802861">
        <w:rPr>
          <w:sz w:val="24"/>
        </w:rPr>
        <w:t xml:space="preserve"> Copia al Registro Municipal y </w:t>
      </w:r>
      <w:proofErr w:type="gramStart"/>
      <w:r w:rsidR="00802861">
        <w:rPr>
          <w:sz w:val="24"/>
        </w:rPr>
        <w:t>Archívese.-</w:t>
      </w:r>
      <w:proofErr w:type="gramEnd"/>
    </w:p>
    <w:p w14:paraId="31A60165" w14:textId="36F4F8DA" w:rsidR="00260789" w:rsidRPr="00260789" w:rsidRDefault="00260789" w:rsidP="00260789">
      <w:pPr>
        <w:spacing w:line="276" w:lineRule="auto"/>
        <w:jc w:val="both"/>
        <w:rPr>
          <w:sz w:val="24"/>
          <w:szCs w:val="24"/>
        </w:rPr>
      </w:pPr>
    </w:p>
    <w:p w14:paraId="48905CC1" w14:textId="77777777" w:rsidR="00260789" w:rsidRPr="00260789" w:rsidRDefault="00260789" w:rsidP="00260789">
      <w:pPr>
        <w:spacing w:line="276" w:lineRule="auto"/>
        <w:jc w:val="both"/>
        <w:rPr>
          <w:sz w:val="24"/>
          <w:szCs w:val="24"/>
        </w:rPr>
      </w:pPr>
    </w:p>
    <w:p w14:paraId="65432284" w14:textId="34DFA0E7" w:rsidR="00260789" w:rsidRPr="00260789" w:rsidRDefault="00260789" w:rsidP="00260789">
      <w:pPr>
        <w:spacing w:line="276" w:lineRule="auto"/>
        <w:jc w:val="both"/>
        <w:rPr>
          <w:sz w:val="24"/>
          <w:szCs w:val="24"/>
        </w:rPr>
      </w:pPr>
      <w:r w:rsidRPr="00260789">
        <w:rPr>
          <w:sz w:val="24"/>
          <w:szCs w:val="24"/>
        </w:rPr>
        <w:t>Dado en la Intendencia Municipal de San Jorge, Ciudad Sanmartiniana, Departamento San Martín, Provincia de Santa Fe a los</w:t>
      </w:r>
      <w:r w:rsidR="00802861">
        <w:rPr>
          <w:sz w:val="24"/>
          <w:szCs w:val="24"/>
        </w:rPr>
        <w:t xml:space="preserve"> diez</w:t>
      </w:r>
      <w:r w:rsidRPr="00260789">
        <w:rPr>
          <w:sz w:val="24"/>
          <w:szCs w:val="24"/>
        </w:rPr>
        <w:t xml:space="preserve"> días del mes de </w:t>
      </w:r>
      <w:r w:rsidR="00802861">
        <w:rPr>
          <w:sz w:val="24"/>
          <w:szCs w:val="24"/>
        </w:rPr>
        <w:t>e</w:t>
      </w:r>
      <w:r w:rsidRPr="00260789">
        <w:rPr>
          <w:sz w:val="24"/>
          <w:szCs w:val="24"/>
        </w:rPr>
        <w:t>nero de 2024.-</w:t>
      </w:r>
    </w:p>
    <w:p w14:paraId="066D7ECC" w14:textId="77777777" w:rsidR="00260789" w:rsidRDefault="00260789" w:rsidP="00260789">
      <w:pPr>
        <w:spacing w:line="276" w:lineRule="auto"/>
        <w:jc w:val="both"/>
        <w:rPr>
          <w:sz w:val="24"/>
          <w:szCs w:val="24"/>
        </w:rPr>
      </w:pPr>
    </w:p>
    <w:p w14:paraId="391AD54C" w14:textId="77777777" w:rsidR="00260789" w:rsidRPr="00260789" w:rsidRDefault="00260789" w:rsidP="001E27BB">
      <w:pPr>
        <w:pStyle w:val="Gobiernodependencia"/>
        <w:spacing w:before="76" w:line="276" w:lineRule="auto"/>
        <w:ind w:firstLine="598"/>
        <w:jc w:val="both"/>
        <w:rPr>
          <w:rFonts w:ascii="Times New Roman" w:hAnsi="Times New Roman"/>
          <w:sz w:val="24"/>
          <w:szCs w:val="24"/>
        </w:rPr>
      </w:pPr>
    </w:p>
    <w:p w14:paraId="3CC05D5A" w14:textId="5B213578" w:rsidR="00F26BB7" w:rsidRPr="00260789" w:rsidRDefault="00F26BB7" w:rsidP="00260789">
      <w:pPr>
        <w:jc w:val="both"/>
        <w:rPr>
          <w:sz w:val="24"/>
          <w:szCs w:val="24"/>
        </w:rPr>
      </w:pPr>
    </w:p>
    <w:sectPr w:rsidR="00F26BB7" w:rsidRPr="00260789" w:rsidSect="00502EAD">
      <w:footnotePr>
        <w:pos w:val="beneathText"/>
      </w:footnotePr>
      <w:pgSz w:w="12240" w:h="20160" w:code="5"/>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tone Sans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15:restartNumberingAfterBreak="0">
    <w:nsid w:val="0070002F"/>
    <w:multiLevelType w:val="hybridMultilevel"/>
    <w:tmpl w:val="F75890D6"/>
    <w:lvl w:ilvl="0" w:tplc="DF26797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18039A"/>
    <w:multiLevelType w:val="hybridMultilevel"/>
    <w:tmpl w:val="4098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C2C6E"/>
    <w:multiLevelType w:val="hybridMultilevel"/>
    <w:tmpl w:val="7B60AFE2"/>
    <w:lvl w:ilvl="0" w:tplc="FBC44682">
      <w:numFmt w:val="bullet"/>
      <w:lvlText w:val=""/>
      <w:lvlJc w:val="left"/>
      <w:pPr>
        <w:ind w:left="720" w:hanging="360"/>
      </w:pPr>
      <w:rPr>
        <w:rFonts w:ascii="Symbol" w:eastAsia="Times New Roman" w:hAnsi="Symbo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604F48"/>
    <w:multiLevelType w:val="hybridMultilevel"/>
    <w:tmpl w:val="A8DA1F2E"/>
    <w:lvl w:ilvl="0" w:tplc="C43E2690">
      <w:numFmt w:val="bullet"/>
      <w:lvlText w:val=""/>
      <w:lvlJc w:val="left"/>
      <w:pPr>
        <w:ind w:left="3195" w:hanging="360"/>
      </w:pPr>
      <w:rPr>
        <w:rFonts w:ascii="Symbol" w:eastAsia="Times New Roman" w:hAnsi="Symbol" w:cs="Arial"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5" w15:restartNumberingAfterBreak="0">
    <w:nsid w:val="556E2941"/>
    <w:multiLevelType w:val="hybridMultilevel"/>
    <w:tmpl w:val="10F25C7C"/>
    <w:lvl w:ilvl="0" w:tplc="07384194">
      <w:start w:val="2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DF25EC3"/>
    <w:multiLevelType w:val="hybridMultilevel"/>
    <w:tmpl w:val="FA7ADBE6"/>
    <w:lvl w:ilvl="0" w:tplc="F000B2D4">
      <w:numFmt w:val="bullet"/>
      <w:lvlText w:val="-"/>
      <w:lvlJc w:val="left"/>
      <w:pPr>
        <w:ind w:left="2280" w:hanging="360"/>
      </w:pPr>
      <w:rPr>
        <w:rFonts w:ascii="Arial" w:eastAsia="Times New Roman" w:hAnsi="Arial" w:cs="Aria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7" w15:restartNumberingAfterBreak="0">
    <w:nsid w:val="686B2025"/>
    <w:multiLevelType w:val="hybridMultilevel"/>
    <w:tmpl w:val="01BCF412"/>
    <w:lvl w:ilvl="0" w:tplc="4CDAC8D4">
      <w:numFmt w:val="bullet"/>
      <w:lvlText w:val="-"/>
      <w:lvlJc w:val="left"/>
      <w:pPr>
        <w:ind w:left="2220" w:hanging="360"/>
      </w:pPr>
      <w:rPr>
        <w:rFonts w:ascii="Arial" w:eastAsia="Times New Roman" w:hAnsi="Arial" w:cs="Aria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8" w15:restartNumberingAfterBreak="0">
    <w:nsid w:val="6AC43778"/>
    <w:multiLevelType w:val="hybridMultilevel"/>
    <w:tmpl w:val="C5F495AE"/>
    <w:lvl w:ilvl="0" w:tplc="5D0E4510">
      <w:numFmt w:val="bullet"/>
      <w:lvlText w:val=""/>
      <w:lvlJc w:val="left"/>
      <w:pPr>
        <w:ind w:left="1770" w:hanging="360"/>
      </w:pPr>
      <w:rPr>
        <w:rFonts w:ascii="Symbol" w:eastAsia="Times New Roman" w:hAnsi="Symbol"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9" w15:restartNumberingAfterBreak="0">
    <w:nsid w:val="71290D81"/>
    <w:multiLevelType w:val="hybridMultilevel"/>
    <w:tmpl w:val="D6E4732C"/>
    <w:lvl w:ilvl="0" w:tplc="2CFAC40E">
      <w:numFmt w:val="bullet"/>
      <w:lvlText w:val="-"/>
      <w:lvlJc w:val="left"/>
      <w:pPr>
        <w:ind w:left="2220" w:hanging="360"/>
      </w:pPr>
      <w:rPr>
        <w:rFonts w:ascii="Arial" w:eastAsia="Times New Roman" w:hAnsi="Arial" w:cs="Aria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10" w15:restartNumberingAfterBreak="0">
    <w:nsid w:val="72602EB5"/>
    <w:multiLevelType w:val="hybridMultilevel"/>
    <w:tmpl w:val="FB045C22"/>
    <w:lvl w:ilvl="0" w:tplc="F7AC4886">
      <w:numFmt w:val="bullet"/>
      <w:lvlText w:val="-"/>
      <w:lvlJc w:val="left"/>
      <w:pPr>
        <w:ind w:left="2220" w:hanging="360"/>
      </w:pPr>
      <w:rPr>
        <w:rFonts w:ascii="Arial" w:eastAsia="Times New Roman" w:hAnsi="Arial" w:cs="Arial" w:hint="default"/>
        <w:b/>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11" w15:restartNumberingAfterBreak="0">
    <w:nsid w:val="7FAF218D"/>
    <w:multiLevelType w:val="hybridMultilevel"/>
    <w:tmpl w:val="89B435BC"/>
    <w:lvl w:ilvl="0" w:tplc="C4A81D7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2892569">
    <w:abstractNumId w:val="0"/>
  </w:num>
  <w:num w:numId="2" w16cid:durableId="1896429897">
    <w:abstractNumId w:val="8"/>
  </w:num>
  <w:num w:numId="3" w16cid:durableId="1454860372">
    <w:abstractNumId w:val="1"/>
  </w:num>
  <w:num w:numId="4" w16cid:durableId="458231684">
    <w:abstractNumId w:val="11"/>
  </w:num>
  <w:num w:numId="5" w16cid:durableId="1553271312">
    <w:abstractNumId w:val="4"/>
  </w:num>
  <w:num w:numId="6" w16cid:durableId="1181702912">
    <w:abstractNumId w:val="3"/>
  </w:num>
  <w:num w:numId="7" w16cid:durableId="1546409127">
    <w:abstractNumId w:val="9"/>
  </w:num>
  <w:num w:numId="8" w16cid:durableId="1568879687">
    <w:abstractNumId w:val="7"/>
  </w:num>
  <w:num w:numId="9" w16cid:durableId="1468400312">
    <w:abstractNumId w:val="10"/>
  </w:num>
  <w:num w:numId="10" w16cid:durableId="1949652580">
    <w:abstractNumId w:val="6"/>
  </w:num>
  <w:num w:numId="11" w16cid:durableId="129323926">
    <w:abstractNumId w:val="2"/>
  </w:num>
  <w:num w:numId="12" w16cid:durableId="183240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DD"/>
    <w:rsid w:val="00017D86"/>
    <w:rsid w:val="00055E96"/>
    <w:rsid w:val="000635BF"/>
    <w:rsid w:val="00077DE4"/>
    <w:rsid w:val="00094AEB"/>
    <w:rsid w:val="000A1011"/>
    <w:rsid w:val="000A50B5"/>
    <w:rsid w:val="000B016A"/>
    <w:rsid w:val="000D2B86"/>
    <w:rsid w:val="000D3930"/>
    <w:rsid w:val="00106488"/>
    <w:rsid w:val="0012578C"/>
    <w:rsid w:val="00161D38"/>
    <w:rsid w:val="001775CE"/>
    <w:rsid w:val="001B7DF6"/>
    <w:rsid w:val="001C486E"/>
    <w:rsid w:val="001E27BB"/>
    <w:rsid w:val="001E3626"/>
    <w:rsid w:val="001F3A52"/>
    <w:rsid w:val="001F6FD1"/>
    <w:rsid w:val="002039F0"/>
    <w:rsid w:val="00214356"/>
    <w:rsid w:val="002575F4"/>
    <w:rsid w:val="002604E6"/>
    <w:rsid w:val="00260789"/>
    <w:rsid w:val="00283192"/>
    <w:rsid w:val="002E7AE6"/>
    <w:rsid w:val="002E7E49"/>
    <w:rsid w:val="0030500A"/>
    <w:rsid w:val="0031282C"/>
    <w:rsid w:val="0032097C"/>
    <w:rsid w:val="00342FDD"/>
    <w:rsid w:val="003436B3"/>
    <w:rsid w:val="00345F4F"/>
    <w:rsid w:val="00367E6C"/>
    <w:rsid w:val="003B413E"/>
    <w:rsid w:val="00405F13"/>
    <w:rsid w:val="004264B7"/>
    <w:rsid w:val="00427A3A"/>
    <w:rsid w:val="00447E73"/>
    <w:rsid w:val="00492ECB"/>
    <w:rsid w:val="00493E8F"/>
    <w:rsid w:val="00493FB0"/>
    <w:rsid w:val="004A29ED"/>
    <w:rsid w:val="004A354C"/>
    <w:rsid w:val="004A4664"/>
    <w:rsid w:val="004B4481"/>
    <w:rsid w:val="004B5288"/>
    <w:rsid w:val="004E5724"/>
    <w:rsid w:val="004F7023"/>
    <w:rsid w:val="005017F2"/>
    <w:rsid w:val="00501D06"/>
    <w:rsid w:val="00502EAD"/>
    <w:rsid w:val="005114EE"/>
    <w:rsid w:val="00517FA2"/>
    <w:rsid w:val="00530D47"/>
    <w:rsid w:val="0054632C"/>
    <w:rsid w:val="00552FF0"/>
    <w:rsid w:val="00574D83"/>
    <w:rsid w:val="005818F6"/>
    <w:rsid w:val="00587DA9"/>
    <w:rsid w:val="005A4545"/>
    <w:rsid w:val="005B1CE9"/>
    <w:rsid w:val="005B5021"/>
    <w:rsid w:val="005D1486"/>
    <w:rsid w:val="005F0A52"/>
    <w:rsid w:val="00600E2A"/>
    <w:rsid w:val="00603D45"/>
    <w:rsid w:val="00646669"/>
    <w:rsid w:val="00657D74"/>
    <w:rsid w:val="00662A92"/>
    <w:rsid w:val="00673759"/>
    <w:rsid w:val="00677826"/>
    <w:rsid w:val="00694CC1"/>
    <w:rsid w:val="006A15F8"/>
    <w:rsid w:val="006D0E60"/>
    <w:rsid w:val="006E0345"/>
    <w:rsid w:val="006E06B2"/>
    <w:rsid w:val="006E2088"/>
    <w:rsid w:val="006E27BE"/>
    <w:rsid w:val="006F5A45"/>
    <w:rsid w:val="00704CD0"/>
    <w:rsid w:val="00707026"/>
    <w:rsid w:val="00716E52"/>
    <w:rsid w:val="00731826"/>
    <w:rsid w:val="007705DF"/>
    <w:rsid w:val="00773303"/>
    <w:rsid w:val="007803BB"/>
    <w:rsid w:val="00794DC5"/>
    <w:rsid w:val="007A2E2C"/>
    <w:rsid w:val="007A2F28"/>
    <w:rsid w:val="007D0683"/>
    <w:rsid w:val="007E12FC"/>
    <w:rsid w:val="00802861"/>
    <w:rsid w:val="0081251C"/>
    <w:rsid w:val="008318E1"/>
    <w:rsid w:val="0084051C"/>
    <w:rsid w:val="00845CD6"/>
    <w:rsid w:val="0084786A"/>
    <w:rsid w:val="008617BB"/>
    <w:rsid w:val="00863F5A"/>
    <w:rsid w:val="00864700"/>
    <w:rsid w:val="00865B73"/>
    <w:rsid w:val="0087274F"/>
    <w:rsid w:val="00882914"/>
    <w:rsid w:val="008914B5"/>
    <w:rsid w:val="008C19B1"/>
    <w:rsid w:val="008D3186"/>
    <w:rsid w:val="00913023"/>
    <w:rsid w:val="00961151"/>
    <w:rsid w:val="00964DB1"/>
    <w:rsid w:val="00981238"/>
    <w:rsid w:val="00985602"/>
    <w:rsid w:val="00992CF7"/>
    <w:rsid w:val="009B2297"/>
    <w:rsid w:val="009C316B"/>
    <w:rsid w:val="009C79F5"/>
    <w:rsid w:val="009D2200"/>
    <w:rsid w:val="009E71CE"/>
    <w:rsid w:val="009F7B05"/>
    <w:rsid w:val="009F7DD3"/>
    <w:rsid w:val="00A10AF4"/>
    <w:rsid w:val="00A140FC"/>
    <w:rsid w:val="00A27409"/>
    <w:rsid w:val="00A7765B"/>
    <w:rsid w:val="00A828E4"/>
    <w:rsid w:val="00A82969"/>
    <w:rsid w:val="00A85FB5"/>
    <w:rsid w:val="00AB12BE"/>
    <w:rsid w:val="00AB6E99"/>
    <w:rsid w:val="00AD0603"/>
    <w:rsid w:val="00AE5998"/>
    <w:rsid w:val="00B056BF"/>
    <w:rsid w:val="00B11E44"/>
    <w:rsid w:val="00B4289E"/>
    <w:rsid w:val="00B53103"/>
    <w:rsid w:val="00B54697"/>
    <w:rsid w:val="00B54F8F"/>
    <w:rsid w:val="00B7090F"/>
    <w:rsid w:val="00B72733"/>
    <w:rsid w:val="00B72DB9"/>
    <w:rsid w:val="00B81AC5"/>
    <w:rsid w:val="00B8438A"/>
    <w:rsid w:val="00B97D66"/>
    <w:rsid w:val="00BA0784"/>
    <w:rsid w:val="00BB01C8"/>
    <w:rsid w:val="00BC78CA"/>
    <w:rsid w:val="00BD5A12"/>
    <w:rsid w:val="00C34443"/>
    <w:rsid w:val="00C40909"/>
    <w:rsid w:val="00C455B3"/>
    <w:rsid w:val="00C57862"/>
    <w:rsid w:val="00C97E40"/>
    <w:rsid w:val="00CB5A47"/>
    <w:rsid w:val="00CC286C"/>
    <w:rsid w:val="00CC7A2E"/>
    <w:rsid w:val="00CE3ADA"/>
    <w:rsid w:val="00CE7A43"/>
    <w:rsid w:val="00D2352D"/>
    <w:rsid w:val="00D26A45"/>
    <w:rsid w:val="00D26ACE"/>
    <w:rsid w:val="00D50AAF"/>
    <w:rsid w:val="00D54B96"/>
    <w:rsid w:val="00D73619"/>
    <w:rsid w:val="00DA6322"/>
    <w:rsid w:val="00DC4152"/>
    <w:rsid w:val="00DD638E"/>
    <w:rsid w:val="00DF5BF9"/>
    <w:rsid w:val="00E13297"/>
    <w:rsid w:val="00E2600C"/>
    <w:rsid w:val="00E32332"/>
    <w:rsid w:val="00E36885"/>
    <w:rsid w:val="00E443A8"/>
    <w:rsid w:val="00E47336"/>
    <w:rsid w:val="00E626B9"/>
    <w:rsid w:val="00E62B16"/>
    <w:rsid w:val="00EB1122"/>
    <w:rsid w:val="00ED01DF"/>
    <w:rsid w:val="00EE7066"/>
    <w:rsid w:val="00EF197C"/>
    <w:rsid w:val="00F1227C"/>
    <w:rsid w:val="00F123BB"/>
    <w:rsid w:val="00F1744B"/>
    <w:rsid w:val="00F26BB7"/>
    <w:rsid w:val="00F42353"/>
    <w:rsid w:val="00F53557"/>
    <w:rsid w:val="00F57DCB"/>
    <w:rsid w:val="00F614A9"/>
    <w:rsid w:val="00F978C5"/>
    <w:rsid w:val="00FA5E16"/>
    <w:rsid w:val="00FB241A"/>
    <w:rsid w:val="00FB610E"/>
    <w:rsid w:val="00FE2260"/>
    <w:rsid w:val="00FF1CEE"/>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19AA"/>
  <w15:chartTrackingRefBased/>
  <w15:docId w15:val="{55CD1138-2373-4B70-9620-CFE58182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paragraph" w:styleId="Ttulo1">
    <w:name w:val="heading 1"/>
    <w:basedOn w:val="Normal"/>
    <w:next w:val="Normal"/>
    <w:qFormat/>
    <w:pPr>
      <w:keepNext/>
      <w:numPr>
        <w:numId w:val="1"/>
      </w:numPr>
      <w:ind w:left="0"/>
      <w:jc w:val="both"/>
      <w:outlineLvl w:val="0"/>
    </w:pPr>
    <w:rPr>
      <w:b/>
      <w:sz w:val="24"/>
      <w:lang w:val="es-MX"/>
    </w:rPr>
  </w:style>
  <w:style w:type="paragraph" w:styleId="Ttulo2">
    <w:name w:val="heading 2"/>
    <w:basedOn w:val="Normal"/>
    <w:next w:val="Normal"/>
    <w:link w:val="Ttulo2Car"/>
    <w:uiPriority w:val="9"/>
    <w:semiHidden/>
    <w:unhideWhenUsed/>
    <w:qFormat/>
    <w:rsid w:val="0026078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rPr>
  </w:style>
  <w:style w:type="character" w:customStyle="1" w:styleId="WW-Absatz-Standardschriftart111">
    <w:name w:val="WW-Absatz-Standardschriftart111"/>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Ttulo11">
    <w:name w:val="Título 11"/>
    <w:basedOn w:val="Normal"/>
    <w:uiPriority w:val="1"/>
    <w:qFormat/>
    <w:rsid w:val="00A7765B"/>
    <w:pPr>
      <w:widowControl w:val="0"/>
      <w:suppressAutoHyphens w:val="0"/>
      <w:autoSpaceDE w:val="0"/>
      <w:autoSpaceDN w:val="0"/>
      <w:spacing w:before="77"/>
      <w:ind w:left="110"/>
      <w:outlineLvl w:val="1"/>
    </w:pPr>
    <w:rPr>
      <w:rFonts w:ascii="Trebuchet MS" w:eastAsia="Trebuchet MS" w:hAnsi="Trebuchet MS" w:cs="Trebuchet MS"/>
      <w:b/>
      <w:bCs/>
      <w:sz w:val="18"/>
      <w:szCs w:val="18"/>
    </w:rPr>
  </w:style>
  <w:style w:type="paragraph" w:customStyle="1" w:styleId="Gobiernodependencia">
    <w:name w:val="Gobierno_dependencia"/>
    <w:basedOn w:val="Normal"/>
    <w:rsid w:val="004A354C"/>
    <w:pPr>
      <w:suppressAutoHyphens w:val="0"/>
      <w:spacing w:line="200" w:lineRule="exact"/>
    </w:pPr>
    <w:rPr>
      <w:rFonts w:ascii="Stone Sans Bold" w:hAnsi="Stone Sans Bold"/>
      <w:bCs/>
      <w:sz w:val="14"/>
      <w:lang w:eastAsia="es-ES"/>
    </w:rPr>
  </w:style>
  <w:style w:type="paragraph" w:styleId="Textodeglobo">
    <w:name w:val="Balloon Text"/>
    <w:basedOn w:val="Normal"/>
    <w:link w:val="TextodegloboCar"/>
    <w:uiPriority w:val="99"/>
    <w:semiHidden/>
    <w:unhideWhenUsed/>
    <w:rsid w:val="001E27BB"/>
    <w:rPr>
      <w:rFonts w:ascii="Segoe UI" w:hAnsi="Segoe UI" w:cs="Segoe UI"/>
      <w:sz w:val="18"/>
      <w:szCs w:val="18"/>
    </w:rPr>
  </w:style>
  <w:style w:type="character" w:customStyle="1" w:styleId="TextodegloboCar">
    <w:name w:val="Texto de globo Car"/>
    <w:link w:val="Textodeglobo"/>
    <w:uiPriority w:val="99"/>
    <w:semiHidden/>
    <w:rsid w:val="001E27BB"/>
    <w:rPr>
      <w:rFonts w:ascii="Segoe UI" w:hAnsi="Segoe UI" w:cs="Segoe UI"/>
      <w:sz w:val="18"/>
      <w:szCs w:val="18"/>
      <w:lang w:val="es-ES"/>
    </w:rPr>
  </w:style>
  <w:style w:type="character" w:customStyle="1" w:styleId="Ttulo2Car">
    <w:name w:val="Título 2 Car"/>
    <w:basedOn w:val="Fuentedeprrafopredeter"/>
    <w:link w:val="Ttulo2"/>
    <w:uiPriority w:val="9"/>
    <w:semiHidden/>
    <w:rsid w:val="00260789"/>
    <w:rPr>
      <w:rFonts w:asciiTheme="majorHAnsi" w:eastAsiaTheme="majorEastAsia" w:hAnsiTheme="majorHAnsi" w:cstheme="majorBidi"/>
      <w:b/>
      <w:bCs/>
      <w:i/>
      <w:i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San Jorge, 04 de Enero de 2008</vt:lpstr>
    </vt:vector>
  </TitlesOfParts>
  <Company>http://www.centor.mx.gd</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Jorge, 04 de Enero de 2008</dc:title>
  <dc:subject/>
  <dc:creator>Jose Luis Rolando</dc:creator>
  <cp:keywords/>
  <cp:lastModifiedBy>Prensa</cp:lastModifiedBy>
  <cp:revision>4</cp:revision>
  <cp:lastPrinted>2024-01-11T10:30:00Z</cp:lastPrinted>
  <dcterms:created xsi:type="dcterms:W3CDTF">2024-01-11T10:43:00Z</dcterms:created>
  <dcterms:modified xsi:type="dcterms:W3CDTF">2024-01-12T10:02:00Z</dcterms:modified>
</cp:coreProperties>
</file>