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EC48" w14:textId="77777777" w:rsidR="000946A9" w:rsidRDefault="000946A9" w:rsidP="000946A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AR" w:eastAsia="es-AR"/>
        </w:rPr>
        <w:drawing>
          <wp:inline distT="0" distB="0" distL="0" distR="0" wp14:anchorId="6E69070E" wp14:editId="4E40A1E4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3F034C5D" w14:textId="77777777" w:rsidR="000946A9" w:rsidRDefault="000946A9" w:rsidP="000946A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C956D30" w14:textId="77777777" w:rsidR="000946A9" w:rsidRDefault="000946A9" w:rsidP="000946A9">
      <w:pPr>
        <w:keepNext/>
        <w:spacing w:after="0"/>
        <w:jc w:val="center"/>
        <w:outlineLvl w:val="1"/>
        <w:rPr>
          <w:b/>
          <w:szCs w:val="24"/>
          <w:lang w:val="es-AR"/>
        </w:rPr>
      </w:pPr>
      <w:bookmarkStart w:id="1" w:name="_Hlk158874272"/>
      <w:r w:rsidRPr="006D0EB5">
        <w:rPr>
          <w:b/>
          <w:szCs w:val="24"/>
          <w:lang w:val="es-AR"/>
        </w:rPr>
        <w:t>2024 “Año del 30º aniversario del Hermanamiento con Cavallermaggiore”</w:t>
      </w:r>
    </w:p>
    <w:bookmarkEnd w:id="1"/>
    <w:p w14:paraId="0B8ACFBD" w14:textId="77777777" w:rsidR="000946A9" w:rsidRPr="00026AC7" w:rsidRDefault="000946A9" w:rsidP="000946A9">
      <w:pPr>
        <w:spacing w:after="0"/>
        <w:rPr>
          <w:rFonts w:eastAsia="Times New Roman"/>
          <w:kern w:val="0"/>
          <w:sz w:val="20"/>
          <w:szCs w:val="20"/>
          <w:lang w:val="es-AR" w:eastAsia="es-ES"/>
          <w14:ligatures w14:val="none"/>
        </w:rPr>
      </w:pPr>
    </w:p>
    <w:p w14:paraId="67503E87" w14:textId="77777777" w:rsidR="000946A9" w:rsidRDefault="000946A9" w:rsidP="000946A9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0C7BBC14" w14:textId="77777777" w:rsidR="000946A9" w:rsidRDefault="000946A9" w:rsidP="000946A9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IM/26.136</w:t>
      </w:r>
    </w:p>
    <w:p w14:paraId="01EB087C" w14:textId="77777777" w:rsidR="000946A9" w:rsidRDefault="000946A9" w:rsidP="000946A9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0B13FE2" w14:textId="77777777" w:rsidR="000946A9" w:rsidRDefault="000946A9" w:rsidP="000946A9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1AEC9BD8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22376AE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258C9015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1C80492E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Nº 417/24, y;</w:t>
      </w:r>
    </w:p>
    <w:p w14:paraId="00842223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81E4392" w14:textId="77777777" w:rsidR="000946A9" w:rsidRDefault="000946A9" w:rsidP="000946A9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6C133458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7CC0663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291DC587" w14:textId="77777777" w:rsidR="000946A9" w:rsidRDefault="000946A9" w:rsidP="000946A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 mediante el mismo el señor Rébola, Diego informa sobre las actividades que lleva adelante la Alianza Francesa como así también su trayectoria y aporte a la difusión del idioma y la cultura francesa;</w:t>
      </w:r>
    </w:p>
    <w:p w14:paraId="762FA368" w14:textId="77777777" w:rsidR="000946A9" w:rsidRDefault="000946A9" w:rsidP="000946A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debido a la situación económica general y los costos crecientes solicitan colaboración económica para poder afrontar los compromisos que tienen;</w:t>
      </w:r>
    </w:p>
    <w:p w14:paraId="1C9CC50B" w14:textId="77777777" w:rsidR="000946A9" w:rsidRDefault="000946A9" w:rsidP="000946A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el Sr. Rébola, Diego es el actual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Presidente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la Alianza Francesa San Jorge;  </w:t>
      </w:r>
    </w:p>
    <w:p w14:paraId="453FFF01" w14:textId="77777777" w:rsidR="000946A9" w:rsidRDefault="000946A9" w:rsidP="000946A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Que la Municipalidad cuenta con una partida dentro del presupuesto para los acompañamientos a instituciones;</w:t>
      </w:r>
    </w:p>
    <w:p w14:paraId="43269232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9C350EC" w14:textId="77777777" w:rsidR="000946A9" w:rsidRDefault="000946A9" w:rsidP="000946A9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15042F86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C9FED96" w14:textId="77777777" w:rsidR="000946A9" w:rsidRDefault="000946A9" w:rsidP="000946A9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7E6A7F63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6A5E862" w14:textId="0C93E3F0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aporte mensual desde marzo hasta diciembre del corriente año de pesos cincuenta mil ($50.000) a Alianza Francesa San Jorge, emitiéndose el pago a nombre de Rébola Diego, </w:t>
      </w:r>
      <w:r w:rsidR="0042565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DNI </w:t>
      </w:r>
      <w:r w:rsidR="0042565E" w:rsidRPr="0042565E">
        <w:rPr>
          <w:rFonts w:eastAsia="Times New Roman"/>
          <w:kern w:val="0"/>
          <w:szCs w:val="20"/>
          <w:lang w:val="es-ES_tradnl" w:eastAsia="es-ES"/>
          <w14:ligatures w14:val="none"/>
        </w:rPr>
        <w:t>26</w:t>
      </w:r>
      <w:r w:rsidR="0042565E">
        <w:rPr>
          <w:rFonts w:eastAsia="Times New Roman"/>
          <w:kern w:val="0"/>
          <w:szCs w:val="20"/>
          <w:lang w:val="es-ES_tradnl" w:eastAsia="es-ES"/>
          <w14:ligatures w14:val="none"/>
        </w:rPr>
        <w:t>.</w:t>
      </w:r>
      <w:r w:rsidR="0042565E" w:rsidRPr="0042565E">
        <w:rPr>
          <w:rFonts w:eastAsia="Times New Roman"/>
          <w:kern w:val="0"/>
          <w:szCs w:val="20"/>
          <w:lang w:val="es-ES_tradnl" w:eastAsia="es-ES"/>
          <w14:ligatures w14:val="none"/>
        </w:rPr>
        <w:t>925</w:t>
      </w:r>
      <w:r w:rsidR="0042565E">
        <w:rPr>
          <w:rFonts w:eastAsia="Times New Roman"/>
          <w:kern w:val="0"/>
          <w:szCs w:val="20"/>
          <w:lang w:val="es-ES_tradnl" w:eastAsia="es-ES"/>
          <w14:ligatures w14:val="none"/>
        </w:rPr>
        <w:t>.</w:t>
      </w:r>
      <w:r w:rsidR="0042565E" w:rsidRPr="0042565E">
        <w:rPr>
          <w:rFonts w:eastAsia="Times New Roman"/>
          <w:kern w:val="0"/>
          <w:szCs w:val="20"/>
          <w:lang w:val="es-ES_tradnl" w:eastAsia="es-ES"/>
          <w14:ligatures w14:val="none"/>
        </w:rPr>
        <w:t>248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transferencia.- </w:t>
      </w:r>
    </w:p>
    <w:p w14:paraId="35D0D556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7952700" w14:textId="77777777" w:rsidR="000946A9" w:rsidRDefault="000946A9" w:rsidP="000946A9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2.02.02.04.02” “Aporte a Instituciones”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General de Gastos y Cálculos de Recursos en vigencia.-       </w:t>
      </w:r>
    </w:p>
    <w:p w14:paraId="2005EDEA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1E84E55A" w14:textId="348310C9" w:rsidR="000946A9" w:rsidRDefault="000946A9" w:rsidP="000946A9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</w:t>
      </w:r>
      <w:r w:rsidR="009650DE">
        <w:rPr>
          <w:rFonts w:eastAsia="Times New Roman"/>
          <w:kern w:val="0"/>
          <w:szCs w:val="20"/>
          <w:lang w:val="es-ES" w:eastAsia="es-ES"/>
          <w14:ligatures w14:val="none"/>
        </w:rPr>
        <w:t>l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interesad</w:t>
      </w:r>
      <w:r w:rsidR="009650DE">
        <w:rPr>
          <w:rFonts w:eastAsia="Times New Roman"/>
          <w:kern w:val="0"/>
          <w:szCs w:val="20"/>
          <w:lang w:val="es-ES" w:eastAsia="es-ES"/>
          <w14:ligatures w14:val="none"/>
        </w:rPr>
        <w:t>o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y a la Subsecretaría de Hacienda  de la Municipalidad para su correspondiente diligenciamiento.-</w:t>
      </w:r>
    </w:p>
    <w:p w14:paraId="6B5F8223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4A106DC1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Comuníquese, Publíquese, Dése Copia al Registro Municipal y Archívese.-</w:t>
      </w:r>
    </w:p>
    <w:p w14:paraId="734F5476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45681A6B" w14:textId="77777777" w:rsidR="000946A9" w:rsidRDefault="000946A9" w:rsidP="000946A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doce días del mes de marzo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45CA55E9" w14:textId="77777777" w:rsidR="000946A9" w:rsidRDefault="000946A9" w:rsidP="000946A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7E4E99B7" w14:textId="77777777" w:rsidR="000946A9" w:rsidRPr="00537205" w:rsidRDefault="000946A9" w:rsidP="000946A9">
      <w:pPr>
        <w:rPr>
          <w:lang w:val="es-ES_tradnl"/>
        </w:rPr>
      </w:pPr>
    </w:p>
    <w:p w14:paraId="286C0C06" w14:textId="77777777" w:rsidR="000946A9" w:rsidRPr="00FF7EF3" w:rsidRDefault="000946A9" w:rsidP="000946A9">
      <w:pPr>
        <w:rPr>
          <w:lang w:val="es-ES_tradnl"/>
        </w:rPr>
      </w:pPr>
    </w:p>
    <w:p w14:paraId="54161679" w14:textId="77777777" w:rsidR="005A4E4D" w:rsidRPr="000946A9" w:rsidRDefault="005A4E4D">
      <w:pPr>
        <w:rPr>
          <w:lang w:val="es-ES_tradnl"/>
        </w:rPr>
      </w:pPr>
    </w:p>
    <w:sectPr w:rsidR="005A4E4D" w:rsidRPr="000946A9" w:rsidSect="00A1540E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A9"/>
    <w:rsid w:val="000946A9"/>
    <w:rsid w:val="0042565E"/>
    <w:rsid w:val="004A5106"/>
    <w:rsid w:val="005A4E4D"/>
    <w:rsid w:val="009650DE"/>
    <w:rsid w:val="00A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4A473"/>
  <w15:docId w15:val="{8CA64BE3-8F4B-40CC-BDED-FB8CD23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A9"/>
    <w:pPr>
      <w:spacing w:after="160" w:line="240" w:lineRule="auto"/>
      <w:jc w:val="both"/>
    </w:pPr>
    <w:rPr>
      <w:rFonts w:ascii="Times New Roman" w:hAnsi="Times New Roman" w:cs="Times New Roman"/>
      <w:kern w:val="2"/>
      <w:sz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6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A9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Secretaria</cp:lastModifiedBy>
  <cp:revision>3</cp:revision>
  <dcterms:created xsi:type="dcterms:W3CDTF">2024-03-12T12:07:00Z</dcterms:created>
  <dcterms:modified xsi:type="dcterms:W3CDTF">2024-03-13T10:45:00Z</dcterms:modified>
</cp:coreProperties>
</file>