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A89FD" w14:textId="77777777" w:rsidR="00454CD8" w:rsidRPr="0028136A" w:rsidRDefault="00454CD8" w:rsidP="00454CD8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noProof/>
          <w:kern w:val="0"/>
          <w:sz w:val="20"/>
          <w:szCs w:val="20"/>
          <w:lang w:eastAsia="es-AR"/>
          <w14:ligatures w14:val="none"/>
        </w:rPr>
        <w:drawing>
          <wp:inline distT="0" distB="0" distL="0" distR="0" wp14:anchorId="733CB5FE" wp14:editId="7B1EBD8B">
            <wp:extent cx="1857375" cy="1171575"/>
            <wp:effectExtent l="0" t="0" r="9525" b="9525"/>
            <wp:docPr id="21389389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36A"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  <w:t xml:space="preserve"> </w:t>
      </w:r>
    </w:p>
    <w:p w14:paraId="780C56C5" w14:textId="77777777" w:rsidR="00454CD8" w:rsidRPr="0028136A" w:rsidRDefault="00454CD8" w:rsidP="00454CD8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0C69B5B0" w14:textId="77777777" w:rsidR="00454CD8" w:rsidRPr="0028136A" w:rsidRDefault="00454CD8" w:rsidP="00454CD8">
      <w:pPr>
        <w:spacing w:after="0"/>
        <w:jc w:val="center"/>
        <w:rPr>
          <w:rFonts w:eastAsia="Times New Roman"/>
          <w:b/>
          <w:kern w:val="0"/>
          <w:szCs w:val="32"/>
          <w:lang w:eastAsia="es-ES"/>
          <w14:ligatures w14:val="none"/>
        </w:rPr>
      </w:pPr>
      <w:r w:rsidRPr="0028136A">
        <w:rPr>
          <w:rFonts w:eastAsia="Times New Roman"/>
          <w:b/>
          <w:kern w:val="0"/>
          <w:szCs w:val="32"/>
          <w:lang w:eastAsia="es-ES"/>
          <w14:ligatures w14:val="none"/>
        </w:rPr>
        <w:t>2024 “Año del 30º aniversario del Hermanamiento con Cavallermaggiore”</w:t>
      </w:r>
    </w:p>
    <w:p w14:paraId="4E6BD22A" w14:textId="77777777" w:rsidR="00454CD8" w:rsidRPr="0028136A" w:rsidRDefault="00454CD8" w:rsidP="00454CD8">
      <w:pPr>
        <w:spacing w:after="0"/>
        <w:jc w:val="center"/>
        <w:rPr>
          <w:rFonts w:eastAsia="Times New Roman"/>
          <w:b/>
          <w:kern w:val="0"/>
          <w:szCs w:val="32"/>
          <w:lang w:eastAsia="es-ES"/>
          <w14:ligatures w14:val="none"/>
        </w:rPr>
      </w:pPr>
    </w:p>
    <w:p w14:paraId="196A7C10" w14:textId="77777777" w:rsidR="00454CD8" w:rsidRPr="0028136A" w:rsidRDefault="00454CD8" w:rsidP="00454CD8">
      <w:pPr>
        <w:spacing w:after="0"/>
        <w:jc w:val="center"/>
        <w:rPr>
          <w:rFonts w:eastAsia="Times New Roman"/>
          <w:kern w:val="0"/>
          <w:szCs w:val="24"/>
          <w:lang w:val="es-ES_tradnl" w:eastAsia="es-ES"/>
          <w14:ligatures w14:val="none"/>
        </w:rPr>
      </w:pPr>
    </w:p>
    <w:p w14:paraId="25262D62" w14:textId="7542E66A" w:rsidR="00454CD8" w:rsidRPr="0028136A" w:rsidRDefault="00454CD8" w:rsidP="00454CD8">
      <w:pPr>
        <w:keepNext/>
        <w:spacing w:after="0"/>
        <w:jc w:val="center"/>
        <w:outlineLvl w:val="1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RESOLUCIÓN IM/26.</w:t>
      </w:r>
      <w:r w:rsidR="004F7069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201</w:t>
      </w:r>
    </w:p>
    <w:p w14:paraId="44A7CB96" w14:textId="77777777" w:rsidR="00454CD8" w:rsidRPr="0028136A" w:rsidRDefault="00454CD8" w:rsidP="00454CD8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743A222A" w14:textId="77777777" w:rsidR="00454CD8" w:rsidRPr="0028136A" w:rsidRDefault="00454CD8" w:rsidP="00454CD8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753D9BF1" w14:textId="77777777" w:rsidR="00454CD8" w:rsidRPr="0028136A" w:rsidRDefault="00454CD8" w:rsidP="00454CD8">
      <w:pPr>
        <w:spacing w:after="0"/>
        <w:jc w:val="left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</w:p>
    <w:p w14:paraId="579461F6" w14:textId="77777777" w:rsidR="00454CD8" w:rsidRPr="0028136A" w:rsidRDefault="00454CD8" w:rsidP="00454CD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727F0C7B" w14:textId="77777777" w:rsidR="00454CD8" w:rsidRPr="0028136A" w:rsidRDefault="00454CD8" w:rsidP="00454CD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VISTO:  </w:t>
      </w:r>
    </w:p>
    <w:p w14:paraId="0F0EBD07" w14:textId="1475E832" w:rsidR="00454CD8" w:rsidRPr="0028136A" w:rsidRDefault="00454CD8" w:rsidP="00454CD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El informe de </w:t>
      </w:r>
      <w:r w:rsidR="004A5C26">
        <w:rPr>
          <w:rFonts w:eastAsia="Times New Roman"/>
          <w:kern w:val="0"/>
          <w:szCs w:val="20"/>
          <w:lang w:val="es-ES_tradnl" w:eastAsia="es-ES"/>
          <w14:ligatures w14:val="none"/>
        </w:rPr>
        <w:t>auditoría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externa encargado por este Departamento Ejecutivo Municipal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, y;</w:t>
      </w:r>
    </w:p>
    <w:p w14:paraId="43767036" w14:textId="77777777" w:rsidR="00454CD8" w:rsidRPr="0028136A" w:rsidRDefault="00454CD8" w:rsidP="00454CD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1BBAA13" w14:textId="77777777" w:rsidR="00454CD8" w:rsidRPr="0028136A" w:rsidRDefault="00454CD8" w:rsidP="00454CD8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 xml:space="preserve">CONSIDERANDO: </w:t>
      </w:r>
    </w:p>
    <w:p w14:paraId="0778684F" w14:textId="77777777" w:rsidR="00454CD8" w:rsidRPr="0028136A" w:rsidRDefault="00454CD8" w:rsidP="00454CD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3146442A" w14:textId="75F4E615" w:rsidR="00454CD8" w:rsidRPr="0028136A" w:rsidRDefault="00454CD8" w:rsidP="00454CD8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</w:t>
      </w:r>
      <w:r w:rsidR="004A5C26"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Que,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mediante el mismo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, se informó que el municipio posee una deuda con </w:t>
      </w:r>
      <w:r w:rsidR="004A5C26">
        <w:rPr>
          <w:rFonts w:eastAsia="Times New Roman"/>
          <w:kern w:val="0"/>
          <w:szCs w:val="20"/>
          <w:lang w:val="es-ES_tradnl" w:eastAsia="es-ES"/>
          <w14:ligatures w14:val="none"/>
        </w:rPr>
        <w:t>la Asociación Bomberos Voluntarios de la ciudad de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San Jorge, en concepto de diferencias por el monto que debieron haber recibido en el año 2023 y el realmente recibido;</w:t>
      </w:r>
    </w:p>
    <w:p w14:paraId="6FB1D233" w14:textId="24E1D8B0" w:rsidR="00454CD8" w:rsidRPr="0028136A" w:rsidRDefault="00454CD8" w:rsidP="00454CD8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ab/>
        <w:t>Que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,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dichos montos surgen de la diferencia en el porcentaje que este municipio debe abonar por la recaudación en rubros determinados de la tasa de servicios;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</w:p>
    <w:p w14:paraId="13D9F1A8" w14:textId="2417243F" w:rsidR="00454CD8" w:rsidRPr="0028136A" w:rsidRDefault="00454CD8" w:rsidP="00454CD8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ab/>
        <w:t>Que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, para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dicha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institución los aportes municipales son vitales para el normal funcionamiento y la correcta prestación del servicio </w:t>
      </w:r>
      <w:r w:rsidR="004A5C26">
        <w:rPr>
          <w:rFonts w:eastAsia="Times New Roman"/>
          <w:kern w:val="0"/>
          <w:szCs w:val="20"/>
          <w:lang w:val="es-ES_tradnl" w:eastAsia="es-ES"/>
          <w14:ligatures w14:val="none"/>
        </w:rPr>
        <w:t>esencial que prestan a la comunidad. -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</w:p>
    <w:p w14:paraId="2B1868B7" w14:textId="4863C423" w:rsidR="00454CD8" w:rsidRPr="0028136A" w:rsidRDefault="00454CD8" w:rsidP="00454CD8">
      <w:pPr>
        <w:spacing w:after="12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ab/>
      </w:r>
      <w:r w:rsidR="004A5C26"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Que</w:t>
      </w:r>
      <w:r w:rsidR="004A5C26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, </w:t>
      </w:r>
      <w:r w:rsidR="004A5C26"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a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la fecha es deseo de esta administración saldar la deuda histórica que posee con </w:t>
      </w:r>
      <w:r w:rsidR="004A5C26">
        <w:rPr>
          <w:rFonts w:eastAsia="Times New Roman"/>
          <w:kern w:val="0"/>
          <w:szCs w:val="20"/>
          <w:lang w:val="es-ES_tradnl" w:eastAsia="es-ES"/>
          <w14:ligatures w14:val="none"/>
        </w:rPr>
        <w:t>dicha institución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a los efectos de regularizar los aportes, reconociendo el vital aporte a la comunidad</w:t>
      </w:r>
      <w:r w:rsidR="0066596D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 dicha </w:t>
      </w:r>
      <w:r w:rsidR="004A5C26">
        <w:rPr>
          <w:rFonts w:eastAsia="Times New Roman"/>
          <w:kern w:val="0"/>
          <w:szCs w:val="20"/>
          <w:lang w:val="es-ES_tradnl" w:eastAsia="es-ES"/>
          <w14:ligatures w14:val="none"/>
        </w:rPr>
        <w:t>institución. -</w:t>
      </w:r>
    </w:p>
    <w:p w14:paraId="6275EE2C" w14:textId="77777777" w:rsidR="00454CD8" w:rsidRPr="0028136A" w:rsidRDefault="00454CD8" w:rsidP="00454CD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613F08F1" w14:textId="77777777" w:rsidR="00454CD8" w:rsidRPr="0028136A" w:rsidRDefault="00454CD8" w:rsidP="00454CD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Por todo ello, el Intendente Municipal de San Jorge, en uso de las atribuciones que le son propias: </w:t>
      </w:r>
    </w:p>
    <w:p w14:paraId="4A46E229" w14:textId="77777777" w:rsidR="00454CD8" w:rsidRPr="0028136A" w:rsidRDefault="00454CD8" w:rsidP="00454CD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1C5F2C38" w14:textId="77777777" w:rsidR="00454CD8" w:rsidRPr="0028136A" w:rsidRDefault="00454CD8" w:rsidP="00454CD8">
      <w:pPr>
        <w:spacing w:after="0"/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                                    </w:t>
      </w: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RESUELVE</w:t>
      </w:r>
    </w:p>
    <w:p w14:paraId="0A301459" w14:textId="77777777" w:rsidR="00454CD8" w:rsidRPr="0028136A" w:rsidRDefault="00454CD8" w:rsidP="00454CD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7189500E" w14:textId="04F0EE69" w:rsidR="00454CD8" w:rsidRPr="0028136A" w:rsidRDefault="00454CD8" w:rsidP="00454CD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Art.1º</w:t>
      </w:r>
      <w:proofErr w:type="gramStart"/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Disponer que se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abone 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por única vez a</w:t>
      </w:r>
      <w:r w:rsidR="00DE41DB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l</w:t>
      </w:r>
      <w:r w:rsidR="00DE41DB">
        <w:rPr>
          <w:rFonts w:eastAsia="Times New Roman"/>
          <w:kern w:val="0"/>
          <w:szCs w:val="20"/>
          <w:lang w:val="es-ES_tradnl" w:eastAsia="es-ES"/>
          <w14:ligatures w14:val="none"/>
        </w:rPr>
        <w:t>a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="00DE41DB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ASOCIACIÓN BOMBEROS VOLUNTARIOS DE LA CIUDAD DE SAN JORGE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la suma de $ 2.359.174 (DOS MILLONES TRESCIENTOS CINCUENTA Y NUEVE MIL CIENTO SETENTA Y CUATRO PESOS) 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.-</w:t>
      </w:r>
    </w:p>
    <w:p w14:paraId="3BD10BFE" w14:textId="77777777" w:rsidR="00454CD8" w:rsidRPr="0028136A" w:rsidRDefault="00454CD8" w:rsidP="00454CD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5DC5E01F" w14:textId="77777777" w:rsidR="00454CD8" w:rsidRPr="0028136A" w:rsidRDefault="00454CD8" w:rsidP="00454CD8">
      <w:pPr>
        <w:spacing w:after="0"/>
        <w:rPr>
          <w:rFonts w:eastAsia="Times New Roman"/>
          <w:b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Art.2º</w:t>
      </w:r>
      <w:proofErr w:type="gramStart"/>
      <w:r w:rsidRPr="0028136A">
        <w:rPr>
          <w:rFonts w:eastAsia="Times New Roman"/>
          <w:b/>
          <w:kern w:val="0"/>
          <w:szCs w:val="20"/>
          <w:u w:val="single"/>
          <w:lang w:val="es-ES_tradnl" w:eastAsia="es-ES"/>
          <w14:ligatures w14:val="none"/>
        </w:rPr>
        <w:t>).-</w:t>
      </w:r>
      <w:proofErr w:type="gramEnd"/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El gasto que demande el cumplimiento de la presente se imputará a la cuenta 2.02.02.04.02 “Aporte a Instituciones” del Presupuesto General de Gastos y Cálculos de Recursos en vigencia.-       </w:t>
      </w:r>
    </w:p>
    <w:p w14:paraId="0B33DEBB" w14:textId="77777777" w:rsidR="00454CD8" w:rsidRPr="0028136A" w:rsidRDefault="00454CD8" w:rsidP="00454CD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lang w:val="es-ES_tradnl" w:eastAsia="es-ES"/>
          <w14:ligatures w14:val="none"/>
        </w:rPr>
        <w:t xml:space="preserve">                  </w:t>
      </w:r>
    </w:p>
    <w:p w14:paraId="5FF45AC3" w14:textId="77777777" w:rsidR="00454CD8" w:rsidRPr="0028136A" w:rsidRDefault="00454CD8" w:rsidP="00454CD8">
      <w:pPr>
        <w:spacing w:after="0"/>
        <w:rPr>
          <w:rFonts w:eastAsia="Times New Roman"/>
          <w:kern w:val="0"/>
          <w:szCs w:val="20"/>
          <w:lang w:val="es-ES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Art.3º</w:t>
      </w:r>
      <w:proofErr w:type="gramStart"/>
      <w:r w:rsidRPr="0028136A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 w:rsidRPr="0028136A">
        <w:rPr>
          <w:rFonts w:eastAsia="Times New Roman"/>
          <w:kern w:val="0"/>
          <w:szCs w:val="20"/>
          <w:lang w:val="es-ES" w:eastAsia="es-ES"/>
          <w14:ligatures w14:val="none"/>
        </w:rPr>
        <w:t xml:space="preserve"> Notifíquese al interesado y a la Subsecretaría de Hacienda  de la Municipalidad para su correspondiente diligenciamiento.-</w:t>
      </w:r>
    </w:p>
    <w:p w14:paraId="3C4AD8D6" w14:textId="77777777" w:rsidR="00454CD8" w:rsidRPr="0028136A" w:rsidRDefault="00454CD8" w:rsidP="00454CD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</w:p>
    <w:p w14:paraId="1E6D5619" w14:textId="77777777" w:rsidR="00454CD8" w:rsidRPr="0028136A" w:rsidRDefault="00454CD8" w:rsidP="00454CD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Art.4º</w:t>
      </w:r>
      <w:proofErr w:type="gramStart"/>
      <w:r w:rsidRPr="0028136A">
        <w:rPr>
          <w:rFonts w:eastAsia="Times New Roman"/>
          <w:b/>
          <w:kern w:val="0"/>
          <w:szCs w:val="20"/>
          <w:u w:val="single"/>
          <w:lang w:val="es-ES" w:eastAsia="es-ES"/>
          <w14:ligatures w14:val="none"/>
        </w:rPr>
        <w:t>).-</w:t>
      </w:r>
      <w:proofErr w:type="gramEnd"/>
      <w:r w:rsidRPr="0028136A">
        <w:rPr>
          <w:rFonts w:eastAsia="Times New Roman"/>
          <w:kern w:val="0"/>
          <w:szCs w:val="20"/>
          <w:lang w:val="es-ES" w:eastAsia="es-ES"/>
          <w14:ligatures w14:val="none"/>
        </w:rPr>
        <w:t xml:space="preserve">  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Comuníquese, Publíquese, </w:t>
      </w:r>
      <w:proofErr w:type="spellStart"/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Dése</w:t>
      </w:r>
      <w:proofErr w:type="spellEnd"/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Copia al Registro Municipal y Archívese.-</w:t>
      </w:r>
    </w:p>
    <w:p w14:paraId="638CB414" w14:textId="77777777" w:rsidR="00454CD8" w:rsidRPr="0028136A" w:rsidRDefault="00454CD8" w:rsidP="00454CD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</w:t>
      </w:r>
    </w:p>
    <w:p w14:paraId="27E5498B" w14:textId="450F5EB4" w:rsidR="00454CD8" w:rsidRPr="0028136A" w:rsidRDefault="00454CD8" w:rsidP="00454CD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Dado en la intendencia municipal de San Jorge, Ciudad Sanmartiniana, Departamento San Martín, Provincia de Santa Fe a los </w:t>
      </w:r>
      <w:r w:rsidR="004A5C26">
        <w:rPr>
          <w:rFonts w:eastAsia="Times New Roman"/>
          <w:kern w:val="0"/>
          <w:szCs w:val="20"/>
          <w:lang w:val="es-ES_tradnl" w:eastAsia="es-ES"/>
          <w14:ligatures w14:val="none"/>
        </w:rPr>
        <w:t>treinta</w:t>
      </w:r>
      <w:r w:rsidR="0066596D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días del </w:t>
      </w:r>
      <w:r>
        <w:rPr>
          <w:rFonts w:eastAsia="Times New Roman"/>
          <w:kern w:val="0"/>
          <w:szCs w:val="20"/>
          <w:lang w:val="es-ES_tradnl" w:eastAsia="es-ES"/>
          <w14:ligatures w14:val="none"/>
        </w:rPr>
        <w:t>mayo</w:t>
      </w: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de abril del dos mil </w:t>
      </w:r>
      <w:proofErr w:type="gramStart"/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>veinticuatro.-</w:t>
      </w:r>
      <w:proofErr w:type="gramEnd"/>
    </w:p>
    <w:p w14:paraId="22433104" w14:textId="77777777" w:rsidR="00454CD8" w:rsidRPr="0028136A" w:rsidRDefault="00454CD8" w:rsidP="00454CD8">
      <w:pPr>
        <w:spacing w:after="0"/>
        <w:rPr>
          <w:rFonts w:eastAsia="Times New Roman"/>
          <w:kern w:val="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                           </w:t>
      </w:r>
    </w:p>
    <w:p w14:paraId="06BC1FED" w14:textId="77777777" w:rsidR="00454CD8" w:rsidRPr="0028136A" w:rsidRDefault="00454CD8" w:rsidP="00454CD8">
      <w:pPr>
        <w:spacing w:after="0"/>
        <w:rPr>
          <w:rFonts w:eastAsia="Times New Roman"/>
          <w:kern w:val="0"/>
          <w:sz w:val="20"/>
          <w:szCs w:val="20"/>
          <w:lang w:val="es-ES_tradnl" w:eastAsia="es-ES"/>
          <w14:ligatures w14:val="none"/>
        </w:rPr>
      </w:pPr>
      <w:r w:rsidRPr="0028136A">
        <w:rPr>
          <w:rFonts w:eastAsia="Times New Roman"/>
          <w:kern w:val="0"/>
          <w:szCs w:val="20"/>
          <w:lang w:val="es-ES_tradnl" w:eastAsia="es-ES"/>
          <w14:ligatures w14:val="none"/>
        </w:rPr>
        <w:t xml:space="preserve"> </w:t>
      </w:r>
    </w:p>
    <w:p w14:paraId="7A2186C9" w14:textId="77777777" w:rsidR="00454CD8" w:rsidRPr="0028136A" w:rsidRDefault="00454CD8" w:rsidP="00454CD8">
      <w:pPr>
        <w:rPr>
          <w:lang w:val="es-ES_tradnl"/>
        </w:rPr>
      </w:pPr>
    </w:p>
    <w:p w14:paraId="471551EC" w14:textId="77777777" w:rsidR="006A5E0D" w:rsidRPr="00454CD8" w:rsidRDefault="006A5E0D">
      <w:pPr>
        <w:rPr>
          <w:lang w:val="es-ES_tradnl"/>
        </w:rPr>
      </w:pPr>
    </w:p>
    <w:sectPr w:rsidR="006A5E0D" w:rsidRPr="00454CD8" w:rsidSect="00CA492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D8"/>
    <w:rsid w:val="00104B5C"/>
    <w:rsid w:val="00174766"/>
    <w:rsid w:val="002633A8"/>
    <w:rsid w:val="003D64D8"/>
    <w:rsid w:val="00454CD8"/>
    <w:rsid w:val="004A5C26"/>
    <w:rsid w:val="004F7069"/>
    <w:rsid w:val="0066596D"/>
    <w:rsid w:val="00680D83"/>
    <w:rsid w:val="006A5E0D"/>
    <w:rsid w:val="00C01003"/>
    <w:rsid w:val="00CA492A"/>
    <w:rsid w:val="00D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DA3BB"/>
  <w15:chartTrackingRefBased/>
  <w15:docId w15:val="{2C45CA02-C04C-44D2-85C4-61479545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CD8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</dc:creator>
  <cp:keywords/>
  <dc:description/>
  <cp:lastModifiedBy>Ezequiel Baima</cp:lastModifiedBy>
  <cp:revision>2</cp:revision>
  <cp:lastPrinted>2024-05-15T14:29:00Z</cp:lastPrinted>
  <dcterms:created xsi:type="dcterms:W3CDTF">2024-05-31T12:56:00Z</dcterms:created>
  <dcterms:modified xsi:type="dcterms:W3CDTF">2024-05-31T12:56:00Z</dcterms:modified>
</cp:coreProperties>
</file>